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8856"/>
      </w:tblGrid>
      <w:tr w:rsidR="00FD13CA" w:rsidRPr="004E07A2" w14:paraId="5D7AAC19" w14:textId="77777777">
        <w:trPr>
          <w:trHeight w:val="2880"/>
          <w:jc w:val="center"/>
        </w:trPr>
        <w:tc>
          <w:tcPr>
            <w:tcW w:w="5000" w:type="pct"/>
          </w:tcPr>
          <w:p w14:paraId="5D7AAC18" w14:textId="77777777" w:rsidR="00FD13CA" w:rsidRPr="004E07A2" w:rsidRDefault="00BB5E05">
            <w:pPr>
              <w:pStyle w:val="NoSpacing"/>
              <w:jc w:val="center"/>
              <w:rPr>
                <w:rFonts w:ascii="Cambria" w:eastAsia="Times New Roman" w:hAnsi="Cambria" w:cs="Times New Roman"/>
                <w:caps/>
                <w:lang w:val="en-IE"/>
              </w:rPr>
            </w:pPr>
            <w:r w:rsidRPr="004E07A2">
              <w:rPr>
                <w:noProof/>
                <w:lang w:val="en-IE" w:eastAsia="en-IE"/>
              </w:rPr>
              <w:drawing>
                <wp:anchor distT="0" distB="0" distL="114300" distR="114300" simplePos="0" relativeHeight="251658240" behindDoc="0" locked="0" layoutInCell="1" allowOverlap="1" wp14:anchorId="5D7AAD71" wp14:editId="5D7AAD72">
                  <wp:simplePos x="0" y="0"/>
                  <wp:positionH relativeFrom="margin">
                    <wp:posOffset>1510030</wp:posOffset>
                  </wp:positionH>
                  <wp:positionV relativeFrom="margin">
                    <wp:posOffset>104140</wp:posOffset>
                  </wp:positionV>
                  <wp:extent cx="2505456" cy="2273808"/>
                  <wp:effectExtent l="0" t="0" r="952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I Title pg LOGO (Do not resiz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456" cy="2273808"/>
                          </a:xfrm>
                          <a:prstGeom prst="rect">
                            <a:avLst/>
                          </a:prstGeom>
                        </pic:spPr>
                      </pic:pic>
                    </a:graphicData>
                  </a:graphic>
                  <wp14:sizeRelH relativeFrom="page">
                    <wp14:pctWidth>0</wp14:pctWidth>
                  </wp14:sizeRelH>
                  <wp14:sizeRelV relativeFrom="page">
                    <wp14:pctHeight>0</wp14:pctHeight>
                  </wp14:sizeRelV>
                </wp:anchor>
              </w:drawing>
            </w:r>
          </w:p>
        </w:tc>
      </w:tr>
    </w:tbl>
    <w:p w14:paraId="5D7AAC1A" w14:textId="77777777" w:rsidR="00FD13CA" w:rsidRPr="004E07A2" w:rsidRDefault="00FD13CA">
      <w:pPr>
        <w:rPr>
          <w:lang w:val="en-IE"/>
        </w:rPr>
      </w:pPr>
    </w:p>
    <w:p w14:paraId="5D7AAC1B" w14:textId="77777777" w:rsidR="00BB5E05" w:rsidRPr="004E07A2" w:rsidRDefault="00BB5E05">
      <w:pPr>
        <w:rPr>
          <w:lang w:val="en-IE"/>
        </w:rPr>
      </w:pPr>
    </w:p>
    <w:p w14:paraId="5D7AAC1C" w14:textId="77777777" w:rsidR="00BB5E05" w:rsidRPr="004E07A2" w:rsidRDefault="00BB5E05">
      <w:pPr>
        <w:rPr>
          <w:lang w:val="en-IE"/>
        </w:rPr>
      </w:pPr>
    </w:p>
    <w:p w14:paraId="5D7AAC1D" w14:textId="77777777" w:rsidR="00BB5E05" w:rsidRPr="004E07A2" w:rsidRDefault="00BB5E05">
      <w:pPr>
        <w:rPr>
          <w:lang w:val="en-IE"/>
        </w:rPr>
      </w:pPr>
    </w:p>
    <w:p w14:paraId="5D7AAC1E" w14:textId="77777777" w:rsidR="00BB5E05" w:rsidRPr="004E07A2" w:rsidRDefault="00BB5E05">
      <w:pPr>
        <w:rPr>
          <w:lang w:val="en-IE"/>
        </w:rPr>
      </w:pPr>
    </w:p>
    <w:p w14:paraId="5D7AAC1F" w14:textId="77777777" w:rsidR="00BB5E05" w:rsidRPr="004E07A2" w:rsidRDefault="00BB5E05">
      <w:pPr>
        <w:rPr>
          <w:lang w:val="en-IE"/>
        </w:rPr>
      </w:pPr>
    </w:p>
    <w:p w14:paraId="5D7AAC20" w14:textId="77777777" w:rsidR="00BB5E05" w:rsidRPr="004E07A2" w:rsidRDefault="00BB5E05">
      <w:pPr>
        <w:rPr>
          <w:lang w:val="en-IE"/>
        </w:rPr>
      </w:pPr>
    </w:p>
    <w:p w14:paraId="5D7AAC21" w14:textId="77777777" w:rsidR="00BB5E05" w:rsidRPr="004E07A2" w:rsidRDefault="00BB5E05">
      <w:pPr>
        <w:rPr>
          <w:lang w:val="en-IE"/>
        </w:rPr>
      </w:pPr>
    </w:p>
    <w:p w14:paraId="5D7AAC22" w14:textId="77777777" w:rsidR="00BB5E05" w:rsidRPr="004E07A2" w:rsidRDefault="00BB5E05">
      <w:pPr>
        <w:rPr>
          <w:lang w:val="en-IE"/>
        </w:rPr>
      </w:pPr>
    </w:p>
    <w:p w14:paraId="5D7AAC23" w14:textId="77777777" w:rsidR="00BB5E05" w:rsidRPr="004E07A2" w:rsidRDefault="00BB5E05" w:rsidP="00BB5E05">
      <w:pPr>
        <w:ind w:left="142" w:right="283"/>
        <w:jc w:val="center"/>
        <w:rPr>
          <w:b/>
          <w:color w:val="07061C"/>
          <w:sz w:val="48"/>
          <w:szCs w:val="48"/>
          <w:lang w:val="en-IE"/>
        </w:rPr>
      </w:pPr>
      <w:r w:rsidRPr="004E07A2">
        <w:rPr>
          <w:b/>
          <w:color w:val="07061C"/>
          <w:sz w:val="48"/>
          <w:szCs w:val="48"/>
          <w:lang w:val="en-IE"/>
        </w:rPr>
        <w:t>Inland Fisheries Ireland</w:t>
      </w:r>
    </w:p>
    <w:p w14:paraId="5D7AAC24" w14:textId="77777777" w:rsidR="00FB1572" w:rsidRPr="004E07A2" w:rsidRDefault="00FB1572" w:rsidP="00BB5E05">
      <w:pPr>
        <w:ind w:left="142" w:right="283"/>
        <w:jc w:val="center"/>
        <w:rPr>
          <w:b/>
          <w:color w:val="07061C"/>
          <w:sz w:val="40"/>
          <w:szCs w:val="40"/>
          <w:lang w:val="en-IE"/>
        </w:rPr>
      </w:pPr>
    </w:p>
    <w:p w14:paraId="5D7AAC25" w14:textId="77777777" w:rsidR="00BB5E05" w:rsidRPr="004E07A2" w:rsidRDefault="00BB5E05" w:rsidP="00BB5E05">
      <w:pPr>
        <w:ind w:left="142" w:right="283"/>
        <w:jc w:val="center"/>
        <w:rPr>
          <w:b/>
          <w:color w:val="596469"/>
          <w:sz w:val="48"/>
          <w:szCs w:val="48"/>
          <w:lang w:val="en-IE"/>
        </w:rPr>
      </w:pPr>
      <w:r w:rsidRPr="004E07A2">
        <w:rPr>
          <w:b/>
          <w:color w:val="596469"/>
          <w:sz w:val="48"/>
          <w:szCs w:val="48"/>
          <w:lang w:val="en-IE"/>
        </w:rPr>
        <w:t>Climate Action Programme</w:t>
      </w:r>
    </w:p>
    <w:p w14:paraId="5D7AAC26" w14:textId="77777777" w:rsidR="00BB5E05" w:rsidRPr="004E07A2" w:rsidRDefault="00BB5E05" w:rsidP="00BB5E05">
      <w:pPr>
        <w:ind w:left="142" w:right="283"/>
        <w:jc w:val="center"/>
        <w:rPr>
          <w:b/>
          <w:color w:val="596469"/>
          <w:sz w:val="42"/>
          <w:szCs w:val="42"/>
          <w:lang w:val="en-IE"/>
        </w:rPr>
      </w:pPr>
    </w:p>
    <w:p w14:paraId="5D7AAC27" w14:textId="77777777" w:rsidR="00BB5E05" w:rsidRPr="004E07A2" w:rsidRDefault="00BB5E05" w:rsidP="00BB5E05">
      <w:pPr>
        <w:ind w:left="142" w:right="283"/>
        <w:jc w:val="center"/>
        <w:rPr>
          <w:b/>
          <w:color w:val="596469"/>
          <w:sz w:val="42"/>
          <w:szCs w:val="42"/>
          <w:lang w:val="en-IE"/>
        </w:rPr>
      </w:pPr>
    </w:p>
    <w:p w14:paraId="5D7AAC28" w14:textId="106860C4" w:rsidR="00BB5E05" w:rsidRPr="004E07A2" w:rsidRDefault="00BB5E05" w:rsidP="00BB5E05">
      <w:pPr>
        <w:jc w:val="center"/>
        <w:rPr>
          <w:lang w:val="en-IE"/>
        </w:rPr>
      </w:pPr>
      <w:r w:rsidRPr="004E07A2">
        <w:rPr>
          <w:b/>
          <w:color w:val="596469"/>
          <w:sz w:val="42"/>
          <w:szCs w:val="42"/>
          <w:lang w:val="en-IE"/>
        </w:rPr>
        <w:t>201</w:t>
      </w:r>
      <w:r w:rsidR="00136016">
        <w:rPr>
          <w:b/>
          <w:color w:val="596469"/>
          <w:sz w:val="42"/>
          <w:szCs w:val="42"/>
          <w:lang w:val="en-IE"/>
        </w:rPr>
        <w:t>9</w:t>
      </w:r>
    </w:p>
    <w:p w14:paraId="5D7AAC29" w14:textId="77777777" w:rsidR="00FD13CA" w:rsidRPr="004E07A2" w:rsidRDefault="00FD13CA">
      <w:pPr>
        <w:rPr>
          <w:lang w:val="en-IE"/>
        </w:rPr>
      </w:pPr>
    </w:p>
    <w:tbl>
      <w:tblPr>
        <w:tblpPr w:leftFromText="187" w:rightFromText="187" w:horzAnchor="margin" w:tblpXSpec="center" w:tblpYSpec="bottom"/>
        <w:tblW w:w="5000" w:type="pct"/>
        <w:tblLook w:val="04A0" w:firstRow="1" w:lastRow="0" w:firstColumn="1" w:lastColumn="0" w:noHBand="0" w:noVBand="1"/>
      </w:tblPr>
      <w:tblGrid>
        <w:gridCol w:w="8856"/>
      </w:tblGrid>
      <w:tr w:rsidR="00FD13CA" w:rsidRPr="004E07A2" w14:paraId="5D7AAC2B" w14:textId="77777777">
        <w:tc>
          <w:tcPr>
            <w:tcW w:w="5000" w:type="pct"/>
          </w:tcPr>
          <w:p w14:paraId="5D7AAC2A" w14:textId="77777777" w:rsidR="00FD13CA" w:rsidRPr="004E07A2" w:rsidRDefault="00FD13CA">
            <w:pPr>
              <w:pStyle w:val="NoSpacing"/>
              <w:rPr>
                <w:lang w:val="en-IE"/>
              </w:rPr>
            </w:pPr>
          </w:p>
        </w:tc>
      </w:tr>
    </w:tbl>
    <w:p w14:paraId="5D7AAC2C" w14:textId="77777777" w:rsidR="00FD13CA" w:rsidRPr="004E07A2" w:rsidRDefault="00FD13CA">
      <w:pPr>
        <w:rPr>
          <w:lang w:val="en-IE"/>
        </w:rPr>
      </w:pPr>
    </w:p>
    <w:p w14:paraId="5D7AAC2D" w14:textId="77777777" w:rsidR="00612517" w:rsidRPr="004E07A2" w:rsidRDefault="00612517" w:rsidP="00612517">
      <w:pPr>
        <w:pStyle w:val="Heading1"/>
        <w:spacing w:after="0"/>
        <w:rPr>
          <w:lang w:val="en-IE"/>
        </w:rPr>
      </w:pPr>
    </w:p>
    <w:p w14:paraId="5D7AAC2E" w14:textId="77777777" w:rsidR="00BB5E05" w:rsidRPr="004E07A2" w:rsidRDefault="00BB5E05" w:rsidP="00BB5E05">
      <w:pPr>
        <w:rPr>
          <w:lang w:val="en-IE"/>
        </w:rPr>
      </w:pPr>
    </w:p>
    <w:p w14:paraId="5D7AAC2F" w14:textId="77777777" w:rsidR="00BB5E05" w:rsidRPr="004E07A2" w:rsidRDefault="00BB5E05" w:rsidP="00BB5E05">
      <w:pPr>
        <w:rPr>
          <w:lang w:val="en-IE"/>
        </w:rPr>
      </w:pPr>
    </w:p>
    <w:p w14:paraId="5D7AAC30" w14:textId="77777777" w:rsidR="00CB4F7A" w:rsidRPr="004E07A2" w:rsidRDefault="00CB4F7A" w:rsidP="00CB4F7A">
      <w:pPr>
        <w:rPr>
          <w:lang w:val="en-IE"/>
        </w:rPr>
      </w:pPr>
    </w:p>
    <w:p w14:paraId="5D7AAC31" w14:textId="77777777" w:rsidR="00BB5E05" w:rsidRPr="004E07A2" w:rsidRDefault="00BB5E05" w:rsidP="00CB4F7A">
      <w:pPr>
        <w:rPr>
          <w:lang w:val="en-IE"/>
        </w:rPr>
      </w:pPr>
    </w:p>
    <w:p w14:paraId="5D7AAC32" w14:textId="77777777" w:rsidR="00BB5E05" w:rsidRPr="004E07A2" w:rsidRDefault="00BB5E05" w:rsidP="00CB4F7A">
      <w:pPr>
        <w:rPr>
          <w:lang w:val="en-IE"/>
        </w:rPr>
      </w:pPr>
    </w:p>
    <w:p w14:paraId="5D7AAC33" w14:textId="77777777" w:rsidR="00BB5E05" w:rsidRPr="004E07A2" w:rsidRDefault="00BB5E05" w:rsidP="00CB4F7A">
      <w:pPr>
        <w:rPr>
          <w:lang w:val="en-IE"/>
        </w:rPr>
      </w:pPr>
    </w:p>
    <w:p w14:paraId="5D7AAC34" w14:textId="77777777" w:rsidR="00BB5E05" w:rsidRPr="004E07A2" w:rsidRDefault="00BB5E05" w:rsidP="00CB4F7A">
      <w:pPr>
        <w:rPr>
          <w:lang w:val="en-IE"/>
        </w:rPr>
      </w:pPr>
    </w:p>
    <w:p w14:paraId="5D7AAC35" w14:textId="77777777" w:rsidR="00BB5E05" w:rsidRPr="004E07A2" w:rsidRDefault="00BB5E05" w:rsidP="00CB4F7A">
      <w:pPr>
        <w:rPr>
          <w:lang w:val="en-IE"/>
        </w:rPr>
      </w:pPr>
    </w:p>
    <w:p w14:paraId="5D7AAC36" w14:textId="77777777" w:rsidR="00BB5E05" w:rsidRPr="004E07A2" w:rsidRDefault="00BB5E05" w:rsidP="00CB4F7A">
      <w:pPr>
        <w:rPr>
          <w:lang w:val="en-IE"/>
        </w:rPr>
      </w:pPr>
    </w:p>
    <w:p w14:paraId="5D7AAC37" w14:textId="77777777" w:rsidR="00BB5E05" w:rsidRPr="004E07A2" w:rsidRDefault="00BB5E05" w:rsidP="00CB4F7A">
      <w:pPr>
        <w:rPr>
          <w:lang w:val="en-IE"/>
        </w:rPr>
      </w:pPr>
    </w:p>
    <w:p w14:paraId="5D7AAC38" w14:textId="77777777" w:rsidR="00BB5E05" w:rsidRPr="004E07A2" w:rsidRDefault="00BB5E05" w:rsidP="00CB4F7A">
      <w:pPr>
        <w:rPr>
          <w:lang w:val="en-IE"/>
        </w:rPr>
      </w:pPr>
    </w:p>
    <w:p w14:paraId="5D7AAC39" w14:textId="77777777" w:rsidR="00CB4F7A" w:rsidRPr="004E07A2" w:rsidRDefault="00CB4F7A" w:rsidP="00CB4F7A">
      <w:pPr>
        <w:rPr>
          <w:lang w:val="en-IE"/>
        </w:rPr>
      </w:pPr>
    </w:p>
    <w:p w14:paraId="5D7AAC3A" w14:textId="77777777" w:rsidR="00CB4F7A" w:rsidRPr="004E07A2" w:rsidRDefault="00CB4F7A" w:rsidP="00CB4F7A">
      <w:pPr>
        <w:rPr>
          <w:lang w:val="en-IE"/>
        </w:rPr>
      </w:pPr>
    </w:p>
    <w:p w14:paraId="5D7AAC3B" w14:textId="77777777" w:rsidR="00FD13CA" w:rsidRPr="004E07A2" w:rsidRDefault="00FD13CA" w:rsidP="00FD13CA">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3"/>
      </w:tblGrid>
      <w:tr w:rsidR="00BB5E05" w:rsidRPr="004E07A2" w14:paraId="5D7AAC3E"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3C"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lastRenderedPageBreak/>
              <w:t>Name of Document:</w:t>
            </w:r>
          </w:p>
        </w:tc>
        <w:tc>
          <w:tcPr>
            <w:tcW w:w="5913" w:type="dxa"/>
            <w:tcBorders>
              <w:top w:val="single" w:sz="4" w:space="0" w:color="auto"/>
              <w:left w:val="single" w:sz="4" w:space="0" w:color="auto"/>
              <w:bottom w:val="single" w:sz="4" w:space="0" w:color="auto"/>
              <w:right w:val="single" w:sz="4" w:space="0" w:color="auto"/>
            </w:tcBorders>
            <w:hideMark/>
          </w:tcPr>
          <w:p w14:paraId="5D7AAC3D" w14:textId="77777777" w:rsidR="00BB5E05" w:rsidRPr="004E07A2" w:rsidRDefault="00BB5E05" w:rsidP="003A2B3B">
            <w:pPr>
              <w:rPr>
                <w:rFonts w:ascii="Calibri" w:hAnsi="Calibri"/>
                <w:sz w:val="22"/>
                <w:szCs w:val="22"/>
                <w:lang w:val="en-IE"/>
              </w:rPr>
            </w:pPr>
            <w:r w:rsidRPr="004E07A2">
              <w:rPr>
                <w:rFonts w:ascii="Calibri" w:hAnsi="Calibri"/>
                <w:sz w:val="22"/>
                <w:szCs w:val="22"/>
                <w:lang w:val="en-IE"/>
              </w:rPr>
              <w:t>IFI’s Climate Action P</w:t>
            </w:r>
            <w:r w:rsidR="00B417C3" w:rsidRPr="004E07A2">
              <w:rPr>
                <w:rFonts w:ascii="Calibri" w:hAnsi="Calibri"/>
                <w:sz w:val="22"/>
                <w:szCs w:val="22"/>
                <w:lang w:val="en-IE"/>
              </w:rPr>
              <w:t>rogramme</w:t>
            </w:r>
            <w:r w:rsidR="00FB1572" w:rsidRPr="004E07A2">
              <w:rPr>
                <w:rFonts w:ascii="Calibri" w:hAnsi="Calibri"/>
                <w:sz w:val="22"/>
                <w:szCs w:val="22"/>
                <w:lang w:val="en-IE"/>
              </w:rPr>
              <w:t xml:space="preserve"> </w:t>
            </w:r>
            <w:r w:rsidR="003A2B3B" w:rsidRPr="004E07A2">
              <w:rPr>
                <w:rFonts w:ascii="Calibri" w:hAnsi="Calibri"/>
                <w:sz w:val="22"/>
                <w:szCs w:val="22"/>
                <w:lang w:val="en-IE"/>
              </w:rPr>
              <w:t>–</w:t>
            </w:r>
            <w:r w:rsidR="00FB1572" w:rsidRPr="004E07A2">
              <w:rPr>
                <w:rFonts w:ascii="Calibri" w:hAnsi="Calibri"/>
                <w:sz w:val="22"/>
                <w:szCs w:val="22"/>
                <w:lang w:val="en-IE"/>
              </w:rPr>
              <w:t xml:space="preserve"> </w:t>
            </w:r>
            <w:r w:rsidR="003A2B3B" w:rsidRPr="004E07A2">
              <w:rPr>
                <w:rFonts w:ascii="Calibri" w:hAnsi="Calibri"/>
                <w:sz w:val="22"/>
                <w:szCs w:val="22"/>
                <w:lang w:val="en-IE"/>
              </w:rPr>
              <w:t xml:space="preserve">Strategic </w:t>
            </w:r>
            <w:r w:rsidR="00FB1572" w:rsidRPr="004E07A2">
              <w:rPr>
                <w:rFonts w:ascii="Calibri" w:hAnsi="Calibri"/>
                <w:sz w:val="22"/>
                <w:szCs w:val="22"/>
                <w:lang w:val="en-IE"/>
              </w:rPr>
              <w:t>Framework</w:t>
            </w:r>
          </w:p>
        </w:tc>
      </w:tr>
      <w:tr w:rsidR="00BB5E05" w:rsidRPr="004E07A2" w14:paraId="5D7AAC46"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3F"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t>Author (s):</w:t>
            </w:r>
          </w:p>
        </w:tc>
        <w:tc>
          <w:tcPr>
            <w:tcW w:w="5913" w:type="dxa"/>
            <w:tcBorders>
              <w:top w:val="single" w:sz="4" w:space="0" w:color="auto"/>
              <w:left w:val="single" w:sz="4" w:space="0" w:color="auto"/>
              <w:bottom w:val="single" w:sz="4" w:space="0" w:color="auto"/>
              <w:right w:val="single" w:sz="4" w:space="0" w:color="auto"/>
            </w:tcBorders>
            <w:hideMark/>
          </w:tcPr>
          <w:p w14:paraId="5D7AAC40" w14:textId="77777777" w:rsidR="00B417C3" w:rsidRPr="004E07A2" w:rsidRDefault="00B417C3" w:rsidP="00BB5E05">
            <w:pPr>
              <w:jc w:val="both"/>
              <w:rPr>
                <w:rFonts w:ascii="Calibri" w:hAnsi="Calibri"/>
                <w:sz w:val="22"/>
                <w:szCs w:val="22"/>
                <w:lang w:val="en-IE"/>
              </w:rPr>
            </w:pPr>
            <w:r w:rsidRPr="004E07A2">
              <w:rPr>
                <w:rFonts w:ascii="Calibri" w:hAnsi="Calibri"/>
                <w:sz w:val="22"/>
                <w:szCs w:val="22"/>
                <w:lang w:val="en-IE"/>
              </w:rPr>
              <w:t xml:space="preserve">Mr. Brian Beckett, Director - IFI Dublin </w:t>
            </w:r>
          </w:p>
          <w:p w14:paraId="5D7AAC41" w14:textId="77777777" w:rsidR="00BB5E05" w:rsidRPr="004E07A2" w:rsidRDefault="00BB5E05" w:rsidP="00BB5E05">
            <w:pPr>
              <w:jc w:val="both"/>
              <w:rPr>
                <w:rFonts w:ascii="Calibri" w:hAnsi="Calibri"/>
                <w:sz w:val="22"/>
                <w:szCs w:val="22"/>
                <w:lang w:val="en-IE"/>
              </w:rPr>
            </w:pPr>
            <w:r w:rsidRPr="004E07A2">
              <w:rPr>
                <w:rFonts w:ascii="Calibri" w:hAnsi="Calibri"/>
                <w:sz w:val="22"/>
                <w:szCs w:val="22"/>
                <w:lang w:val="en-IE"/>
              </w:rPr>
              <w:t>Mr. Pat Doherty, Head of Finance and Logistics</w:t>
            </w:r>
          </w:p>
          <w:p w14:paraId="5D7AAC45" w14:textId="3BA1FD41" w:rsidR="00244822" w:rsidRPr="004E07A2" w:rsidRDefault="003372D3" w:rsidP="00BB5E05">
            <w:pPr>
              <w:jc w:val="both"/>
              <w:rPr>
                <w:rFonts w:ascii="Calibri" w:hAnsi="Calibri"/>
                <w:sz w:val="22"/>
                <w:szCs w:val="22"/>
                <w:lang w:val="en-IE"/>
              </w:rPr>
            </w:pPr>
            <w:r w:rsidRPr="003372D3">
              <w:rPr>
                <w:rFonts w:ascii="Calibri" w:hAnsi="Calibri"/>
                <w:sz w:val="22"/>
                <w:szCs w:val="22"/>
                <w:lang w:val="en-IE"/>
              </w:rPr>
              <w:t xml:space="preserve">Mr. Thomas Mc Grory – </w:t>
            </w:r>
            <w:r>
              <w:rPr>
                <w:rFonts w:ascii="Calibri" w:hAnsi="Calibri"/>
                <w:sz w:val="22"/>
                <w:szCs w:val="22"/>
                <w:lang w:val="en-IE"/>
              </w:rPr>
              <w:t xml:space="preserve">IFI </w:t>
            </w:r>
            <w:r w:rsidRPr="003372D3">
              <w:rPr>
                <w:rFonts w:ascii="Calibri" w:hAnsi="Calibri"/>
                <w:sz w:val="22"/>
                <w:szCs w:val="22"/>
                <w:lang w:val="en-IE"/>
              </w:rPr>
              <w:t>Business Development</w:t>
            </w:r>
          </w:p>
        </w:tc>
      </w:tr>
      <w:tr w:rsidR="00BB5E05" w:rsidRPr="004E07A2" w14:paraId="5D7AAC49"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47"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t xml:space="preserve">Authorised Officer: </w:t>
            </w:r>
          </w:p>
        </w:tc>
        <w:tc>
          <w:tcPr>
            <w:tcW w:w="5913" w:type="dxa"/>
            <w:tcBorders>
              <w:top w:val="single" w:sz="4" w:space="0" w:color="auto"/>
              <w:left w:val="single" w:sz="4" w:space="0" w:color="auto"/>
              <w:bottom w:val="single" w:sz="4" w:space="0" w:color="auto"/>
              <w:right w:val="single" w:sz="4" w:space="0" w:color="auto"/>
            </w:tcBorders>
            <w:hideMark/>
          </w:tcPr>
          <w:p w14:paraId="5D7AAC48" w14:textId="77777777" w:rsidR="00BB5E05" w:rsidRPr="004E07A2" w:rsidRDefault="00BB5E05" w:rsidP="00BB5E05">
            <w:pPr>
              <w:jc w:val="both"/>
              <w:rPr>
                <w:rFonts w:ascii="Calibri" w:hAnsi="Calibri"/>
                <w:sz w:val="22"/>
                <w:szCs w:val="22"/>
                <w:lang w:val="en-IE"/>
              </w:rPr>
            </w:pPr>
            <w:proofErr w:type="spellStart"/>
            <w:r w:rsidRPr="004E07A2">
              <w:rPr>
                <w:rFonts w:ascii="Calibri" w:hAnsi="Calibri"/>
                <w:sz w:val="22"/>
                <w:szCs w:val="22"/>
                <w:lang w:val="en-IE"/>
              </w:rPr>
              <w:t>Dr.</w:t>
            </w:r>
            <w:proofErr w:type="spellEnd"/>
            <w:r w:rsidRPr="004E07A2">
              <w:rPr>
                <w:rFonts w:ascii="Calibri" w:hAnsi="Calibri"/>
                <w:sz w:val="22"/>
                <w:szCs w:val="22"/>
                <w:lang w:val="en-IE"/>
              </w:rPr>
              <w:t xml:space="preserve"> Ciaran Byrne, Chief Executive Officer</w:t>
            </w:r>
          </w:p>
        </w:tc>
      </w:tr>
      <w:tr w:rsidR="00BB5E05" w:rsidRPr="004E07A2" w14:paraId="5D7AAC4C"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4A"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t>Description of content:</w:t>
            </w:r>
          </w:p>
        </w:tc>
        <w:tc>
          <w:tcPr>
            <w:tcW w:w="5913" w:type="dxa"/>
            <w:tcBorders>
              <w:top w:val="single" w:sz="4" w:space="0" w:color="auto"/>
              <w:left w:val="single" w:sz="4" w:space="0" w:color="auto"/>
              <w:bottom w:val="single" w:sz="4" w:space="0" w:color="auto"/>
              <w:right w:val="single" w:sz="4" w:space="0" w:color="auto"/>
            </w:tcBorders>
            <w:hideMark/>
          </w:tcPr>
          <w:p w14:paraId="5D7AAC4B" w14:textId="77777777" w:rsidR="00BB5E05" w:rsidRPr="004E07A2" w:rsidRDefault="00BB5E05" w:rsidP="00BB5E05">
            <w:pPr>
              <w:jc w:val="both"/>
              <w:rPr>
                <w:rFonts w:ascii="Calibri" w:hAnsi="Calibri"/>
                <w:sz w:val="22"/>
                <w:szCs w:val="22"/>
                <w:lang w:val="en-IE"/>
              </w:rPr>
            </w:pPr>
            <w:r w:rsidRPr="004E07A2">
              <w:rPr>
                <w:rFonts w:ascii="Calibri" w:hAnsi="Calibri"/>
                <w:sz w:val="22"/>
                <w:szCs w:val="22"/>
                <w:lang w:val="en-IE"/>
              </w:rPr>
              <w:t xml:space="preserve">This document outlines an overview of IFI’s Climate Action Programme and recommends a framework for delivery over the coming 3 years. </w:t>
            </w:r>
          </w:p>
        </w:tc>
      </w:tr>
      <w:tr w:rsidR="00BB5E05" w:rsidRPr="004E07A2" w14:paraId="5D7AAC4F"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4D"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t>Approved by:</w:t>
            </w:r>
          </w:p>
        </w:tc>
        <w:tc>
          <w:tcPr>
            <w:tcW w:w="5913" w:type="dxa"/>
            <w:tcBorders>
              <w:top w:val="single" w:sz="4" w:space="0" w:color="auto"/>
              <w:left w:val="single" w:sz="4" w:space="0" w:color="auto"/>
              <w:bottom w:val="single" w:sz="4" w:space="0" w:color="auto"/>
              <w:right w:val="single" w:sz="4" w:space="0" w:color="auto"/>
            </w:tcBorders>
          </w:tcPr>
          <w:p w14:paraId="5D7AAC4E" w14:textId="77777777" w:rsidR="00BB5E05" w:rsidRPr="004E07A2" w:rsidRDefault="00BB5E05" w:rsidP="00BB5E05">
            <w:pPr>
              <w:rPr>
                <w:rFonts w:ascii="Calibri" w:hAnsi="Calibri"/>
                <w:sz w:val="22"/>
                <w:szCs w:val="22"/>
                <w:lang w:val="en-IE"/>
              </w:rPr>
            </w:pPr>
          </w:p>
        </w:tc>
      </w:tr>
      <w:tr w:rsidR="00BB5E05" w:rsidRPr="004E07A2" w14:paraId="5D7AAC52"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50"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t>Date of Approval:</w:t>
            </w:r>
          </w:p>
        </w:tc>
        <w:tc>
          <w:tcPr>
            <w:tcW w:w="5913" w:type="dxa"/>
            <w:tcBorders>
              <w:top w:val="single" w:sz="4" w:space="0" w:color="auto"/>
              <w:left w:val="single" w:sz="4" w:space="0" w:color="auto"/>
              <w:bottom w:val="single" w:sz="4" w:space="0" w:color="auto"/>
              <w:right w:val="single" w:sz="4" w:space="0" w:color="auto"/>
            </w:tcBorders>
          </w:tcPr>
          <w:p w14:paraId="5D7AAC51" w14:textId="77777777" w:rsidR="00BB5E05" w:rsidRPr="004E07A2" w:rsidRDefault="00BB5E05" w:rsidP="00BB5E05">
            <w:pPr>
              <w:rPr>
                <w:rFonts w:ascii="Calibri" w:hAnsi="Calibri"/>
                <w:sz w:val="22"/>
                <w:szCs w:val="22"/>
                <w:lang w:val="en-IE"/>
              </w:rPr>
            </w:pPr>
          </w:p>
        </w:tc>
      </w:tr>
      <w:tr w:rsidR="00BB5E05" w:rsidRPr="004E07A2" w14:paraId="5D7AAC55"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53"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t>Assigned review period:</w:t>
            </w:r>
          </w:p>
        </w:tc>
        <w:tc>
          <w:tcPr>
            <w:tcW w:w="5913" w:type="dxa"/>
            <w:tcBorders>
              <w:top w:val="single" w:sz="4" w:space="0" w:color="auto"/>
              <w:left w:val="single" w:sz="4" w:space="0" w:color="auto"/>
              <w:bottom w:val="single" w:sz="4" w:space="0" w:color="auto"/>
              <w:right w:val="single" w:sz="4" w:space="0" w:color="auto"/>
            </w:tcBorders>
            <w:hideMark/>
          </w:tcPr>
          <w:p w14:paraId="5D7AAC54" w14:textId="77777777" w:rsidR="00BB5E05" w:rsidRPr="004E07A2" w:rsidRDefault="00BB5E05" w:rsidP="00BB5E05">
            <w:pPr>
              <w:rPr>
                <w:rFonts w:ascii="Calibri" w:hAnsi="Calibri"/>
                <w:sz w:val="22"/>
                <w:szCs w:val="22"/>
                <w:lang w:val="en-IE"/>
              </w:rPr>
            </w:pPr>
            <w:r w:rsidRPr="004E07A2">
              <w:rPr>
                <w:rFonts w:ascii="Calibri" w:hAnsi="Calibri"/>
                <w:sz w:val="22"/>
                <w:szCs w:val="22"/>
                <w:lang w:val="en-IE"/>
              </w:rPr>
              <w:t>3 Years or as required.</w:t>
            </w:r>
          </w:p>
        </w:tc>
      </w:tr>
      <w:tr w:rsidR="00BB5E05" w:rsidRPr="004E07A2" w14:paraId="5D7AAC58"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56"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t>Date of next review:</w:t>
            </w:r>
          </w:p>
        </w:tc>
        <w:tc>
          <w:tcPr>
            <w:tcW w:w="5913" w:type="dxa"/>
            <w:tcBorders>
              <w:top w:val="single" w:sz="4" w:space="0" w:color="auto"/>
              <w:left w:val="single" w:sz="4" w:space="0" w:color="auto"/>
              <w:bottom w:val="single" w:sz="4" w:space="0" w:color="auto"/>
              <w:right w:val="single" w:sz="4" w:space="0" w:color="auto"/>
            </w:tcBorders>
            <w:hideMark/>
          </w:tcPr>
          <w:p w14:paraId="5D7AAC57" w14:textId="77777777" w:rsidR="00BB5E05" w:rsidRPr="004E07A2" w:rsidRDefault="00BB5E05" w:rsidP="00BB5E05">
            <w:pPr>
              <w:rPr>
                <w:rFonts w:ascii="Calibri" w:hAnsi="Calibri"/>
                <w:sz w:val="22"/>
                <w:szCs w:val="22"/>
                <w:lang w:val="en-IE"/>
              </w:rPr>
            </w:pPr>
            <w:r w:rsidRPr="004E07A2">
              <w:rPr>
                <w:rFonts w:ascii="Calibri" w:hAnsi="Calibri"/>
                <w:sz w:val="22"/>
                <w:szCs w:val="22"/>
                <w:lang w:val="en-IE"/>
              </w:rPr>
              <w:t>July 2021</w:t>
            </w:r>
          </w:p>
        </w:tc>
      </w:tr>
      <w:tr w:rsidR="00BB5E05" w:rsidRPr="004E07A2" w14:paraId="5D7AAC5B" w14:textId="77777777" w:rsidTr="00BB5E05">
        <w:trPr>
          <w:trHeight w:val="567"/>
        </w:trPr>
        <w:tc>
          <w:tcPr>
            <w:tcW w:w="2943" w:type="dxa"/>
            <w:tcBorders>
              <w:top w:val="single" w:sz="4" w:space="0" w:color="auto"/>
              <w:left w:val="single" w:sz="4" w:space="0" w:color="auto"/>
              <w:bottom w:val="single" w:sz="4" w:space="0" w:color="auto"/>
              <w:right w:val="single" w:sz="4" w:space="0" w:color="auto"/>
            </w:tcBorders>
            <w:hideMark/>
          </w:tcPr>
          <w:p w14:paraId="5D7AAC59" w14:textId="77777777" w:rsidR="00BB5E05" w:rsidRPr="004E07A2" w:rsidRDefault="00BB5E05" w:rsidP="00BB5E05">
            <w:pPr>
              <w:rPr>
                <w:rFonts w:ascii="Calibri" w:hAnsi="Calibri"/>
                <w:b/>
                <w:sz w:val="22"/>
                <w:szCs w:val="22"/>
                <w:lang w:val="en-IE"/>
              </w:rPr>
            </w:pPr>
            <w:r w:rsidRPr="004E07A2">
              <w:rPr>
                <w:rFonts w:ascii="Calibri" w:hAnsi="Calibri"/>
                <w:b/>
                <w:sz w:val="22"/>
                <w:szCs w:val="22"/>
                <w:lang w:val="en-IE"/>
              </w:rPr>
              <w:t>Document Code:</w:t>
            </w:r>
          </w:p>
        </w:tc>
        <w:tc>
          <w:tcPr>
            <w:tcW w:w="5913" w:type="dxa"/>
            <w:tcBorders>
              <w:top w:val="single" w:sz="4" w:space="0" w:color="auto"/>
              <w:left w:val="single" w:sz="4" w:space="0" w:color="auto"/>
              <w:bottom w:val="single" w:sz="4" w:space="0" w:color="auto"/>
              <w:right w:val="single" w:sz="4" w:space="0" w:color="auto"/>
            </w:tcBorders>
            <w:hideMark/>
          </w:tcPr>
          <w:p w14:paraId="5D7AAC5A" w14:textId="6B0105AB" w:rsidR="00BB5E05" w:rsidRPr="004E07A2" w:rsidRDefault="00BB5E05" w:rsidP="003372D3">
            <w:pPr>
              <w:rPr>
                <w:rFonts w:ascii="Calibri" w:hAnsi="Calibri"/>
                <w:sz w:val="22"/>
                <w:szCs w:val="22"/>
                <w:lang w:val="en-IE"/>
              </w:rPr>
            </w:pPr>
            <w:r w:rsidRPr="004E07A2">
              <w:rPr>
                <w:rFonts w:ascii="Calibri" w:hAnsi="Calibri"/>
                <w:sz w:val="22"/>
                <w:szCs w:val="22"/>
                <w:lang w:val="en-IE"/>
              </w:rPr>
              <w:t>IFI_</w:t>
            </w:r>
            <w:r w:rsidR="00244822">
              <w:rPr>
                <w:rFonts w:ascii="Calibri" w:hAnsi="Calibri"/>
                <w:sz w:val="22"/>
                <w:szCs w:val="22"/>
                <w:lang w:val="en-IE"/>
              </w:rPr>
              <w:t>CLIMATEACT</w:t>
            </w:r>
            <w:r w:rsidRPr="004E07A2">
              <w:rPr>
                <w:rFonts w:ascii="Calibri" w:hAnsi="Calibri"/>
                <w:sz w:val="22"/>
                <w:szCs w:val="22"/>
                <w:lang w:val="en-IE"/>
              </w:rPr>
              <w:t>_Rev</w:t>
            </w:r>
            <w:r w:rsidR="003372D3">
              <w:rPr>
                <w:rFonts w:ascii="Calibri" w:hAnsi="Calibri"/>
                <w:sz w:val="22"/>
                <w:szCs w:val="22"/>
                <w:lang w:val="en-IE"/>
              </w:rPr>
              <w:t>1</w:t>
            </w:r>
            <w:r w:rsidRPr="004E07A2">
              <w:rPr>
                <w:rFonts w:ascii="Calibri" w:hAnsi="Calibri"/>
                <w:sz w:val="22"/>
                <w:szCs w:val="22"/>
                <w:lang w:val="en-IE"/>
              </w:rPr>
              <w:t>_201</w:t>
            </w:r>
            <w:r w:rsidR="003372D3">
              <w:rPr>
                <w:rFonts w:ascii="Calibri" w:hAnsi="Calibri"/>
                <w:sz w:val="22"/>
                <w:szCs w:val="22"/>
                <w:lang w:val="en-IE"/>
              </w:rPr>
              <w:t>9</w:t>
            </w:r>
          </w:p>
        </w:tc>
      </w:tr>
    </w:tbl>
    <w:p w14:paraId="5D7AAC5C" w14:textId="77777777" w:rsidR="00E06A80" w:rsidRPr="004E07A2" w:rsidRDefault="00E06A80" w:rsidP="00E06A80">
      <w:pPr>
        <w:rPr>
          <w:vanish/>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992"/>
        <w:gridCol w:w="1112"/>
        <w:gridCol w:w="1408"/>
        <w:gridCol w:w="1408"/>
      </w:tblGrid>
      <w:tr w:rsidR="00E30385" w:rsidRPr="004E07A2" w14:paraId="5D7AAC63" w14:textId="77777777" w:rsidTr="00E06A80">
        <w:trPr>
          <w:trHeight w:val="567"/>
        </w:trPr>
        <w:tc>
          <w:tcPr>
            <w:tcW w:w="2943" w:type="dxa"/>
            <w:shd w:val="clear" w:color="auto" w:fill="auto"/>
          </w:tcPr>
          <w:p w14:paraId="5D7AAC5D" w14:textId="77777777" w:rsidR="00E30385" w:rsidRPr="004E07A2" w:rsidRDefault="00E30385" w:rsidP="00E06A80">
            <w:pPr>
              <w:rPr>
                <w:rFonts w:ascii="Calibri" w:hAnsi="Calibri"/>
                <w:bCs/>
                <w:lang w:val="en-IE"/>
              </w:rPr>
            </w:pPr>
            <w:r w:rsidRPr="004E07A2">
              <w:rPr>
                <w:rFonts w:ascii="Calibri" w:hAnsi="Calibri"/>
                <w:bCs/>
                <w:lang w:val="en-IE"/>
              </w:rPr>
              <w:t>This document comprises</w:t>
            </w:r>
          </w:p>
        </w:tc>
        <w:tc>
          <w:tcPr>
            <w:tcW w:w="993" w:type="dxa"/>
            <w:shd w:val="clear" w:color="auto" w:fill="auto"/>
          </w:tcPr>
          <w:p w14:paraId="5D7AAC5E" w14:textId="77777777" w:rsidR="00E30385" w:rsidRPr="004E07A2" w:rsidRDefault="00E30385" w:rsidP="00E06A80">
            <w:pPr>
              <w:rPr>
                <w:rFonts w:ascii="Calibri" w:hAnsi="Calibri"/>
                <w:bCs/>
                <w:lang w:val="en-IE"/>
              </w:rPr>
            </w:pPr>
            <w:r w:rsidRPr="004E07A2">
              <w:rPr>
                <w:rFonts w:ascii="Calibri" w:hAnsi="Calibri"/>
                <w:bCs/>
                <w:lang w:val="en-IE"/>
              </w:rPr>
              <w:t>TOC</w:t>
            </w:r>
          </w:p>
        </w:tc>
        <w:tc>
          <w:tcPr>
            <w:tcW w:w="992" w:type="dxa"/>
            <w:shd w:val="clear" w:color="auto" w:fill="auto"/>
          </w:tcPr>
          <w:p w14:paraId="5D7AAC5F" w14:textId="77777777" w:rsidR="00E30385" w:rsidRPr="004E07A2" w:rsidRDefault="00E30385" w:rsidP="00E06A80">
            <w:pPr>
              <w:rPr>
                <w:rFonts w:ascii="Calibri" w:hAnsi="Calibri"/>
                <w:bCs/>
                <w:lang w:val="en-IE"/>
              </w:rPr>
            </w:pPr>
            <w:r w:rsidRPr="004E07A2">
              <w:rPr>
                <w:rFonts w:ascii="Calibri" w:hAnsi="Calibri"/>
                <w:bCs/>
                <w:lang w:val="en-IE"/>
              </w:rPr>
              <w:t>Text</w:t>
            </w:r>
          </w:p>
        </w:tc>
        <w:tc>
          <w:tcPr>
            <w:tcW w:w="1112" w:type="dxa"/>
            <w:shd w:val="clear" w:color="auto" w:fill="auto"/>
          </w:tcPr>
          <w:p w14:paraId="5D7AAC60" w14:textId="77777777" w:rsidR="00E30385" w:rsidRPr="004E07A2" w:rsidRDefault="00E30385" w:rsidP="00E06A80">
            <w:pPr>
              <w:rPr>
                <w:rFonts w:ascii="Calibri" w:hAnsi="Calibri"/>
                <w:bCs/>
                <w:lang w:val="en-IE"/>
              </w:rPr>
            </w:pPr>
            <w:r w:rsidRPr="004E07A2">
              <w:rPr>
                <w:rFonts w:ascii="Calibri" w:hAnsi="Calibri"/>
                <w:bCs/>
                <w:lang w:val="en-IE"/>
              </w:rPr>
              <w:t>List of tables</w:t>
            </w:r>
          </w:p>
        </w:tc>
        <w:tc>
          <w:tcPr>
            <w:tcW w:w="1408" w:type="dxa"/>
            <w:shd w:val="clear" w:color="auto" w:fill="auto"/>
          </w:tcPr>
          <w:p w14:paraId="5D7AAC61" w14:textId="77777777" w:rsidR="00E30385" w:rsidRPr="004E07A2" w:rsidRDefault="00E30385" w:rsidP="00E06A80">
            <w:pPr>
              <w:rPr>
                <w:rFonts w:ascii="Calibri" w:hAnsi="Calibri"/>
                <w:bCs/>
                <w:lang w:val="en-IE"/>
              </w:rPr>
            </w:pPr>
            <w:r w:rsidRPr="004E07A2">
              <w:rPr>
                <w:rFonts w:ascii="Calibri" w:hAnsi="Calibri"/>
                <w:bCs/>
                <w:lang w:val="en-IE"/>
              </w:rPr>
              <w:t>Table of Figures</w:t>
            </w:r>
          </w:p>
        </w:tc>
        <w:tc>
          <w:tcPr>
            <w:tcW w:w="1408" w:type="dxa"/>
            <w:shd w:val="clear" w:color="auto" w:fill="auto"/>
          </w:tcPr>
          <w:p w14:paraId="5D7AAC62" w14:textId="77777777" w:rsidR="00E30385" w:rsidRPr="004E07A2" w:rsidRDefault="00E30385" w:rsidP="00E06A80">
            <w:pPr>
              <w:rPr>
                <w:rFonts w:ascii="Calibri" w:hAnsi="Calibri"/>
                <w:bCs/>
                <w:lang w:val="en-IE"/>
              </w:rPr>
            </w:pPr>
            <w:r w:rsidRPr="004E07A2">
              <w:rPr>
                <w:rFonts w:ascii="Calibri" w:hAnsi="Calibri"/>
                <w:bCs/>
                <w:lang w:val="en-IE"/>
              </w:rPr>
              <w:t>No. Appendices</w:t>
            </w:r>
          </w:p>
        </w:tc>
      </w:tr>
      <w:tr w:rsidR="00E30385" w:rsidRPr="004E07A2" w14:paraId="5D7AAC6A" w14:textId="77777777" w:rsidTr="00E06A80">
        <w:trPr>
          <w:trHeight w:val="567"/>
        </w:trPr>
        <w:tc>
          <w:tcPr>
            <w:tcW w:w="2943" w:type="dxa"/>
            <w:shd w:val="clear" w:color="auto" w:fill="auto"/>
          </w:tcPr>
          <w:p w14:paraId="5D7AAC64" w14:textId="77777777" w:rsidR="00E30385" w:rsidRPr="004E07A2" w:rsidRDefault="00E30385" w:rsidP="00E06A80">
            <w:pPr>
              <w:rPr>
                <w:rFonts w:ascii="Calibri" w:hAnsi="Calibri"/>
                <w:bCs/>
                <w:lang w:val="en-IE"/>
              </w:rPr>
            </w:pPr>
          </w:p>
        </w:tc>
        <w:tc>
          <w:tcPr>
            <w:tcW w:w="993" w:type="dxa"/>
            <w:shd w:val="clear" w:color="auto" w:fill="auto"/>
          </w:tcPr>
          <w:p w14:paraId="5D7AAC65" w14:textId="77777777" w:rsidR="00E30385" w:rsidRPr="004E07A2" w:rsidRDefault="00E30385" w:rsidP="00E06A80">
            <w:pPr>
              <w:rPr>
                <w:rFonts w:ascii="Calibri" w:hAnsi="Calibri"/>
                <w:bCs/>
                <w:lang w:val="en-IE"/>
              </w:rPr>
            </w:pPr>
          </w:p>
        </w:tc>
        <w:tc>
          <w:tcPr>
            <w:tcW w:w="992" w:type="dxa"/>
            <w:shd w:val="clear" w:color="auto" w:fill="auto"/>
          </w:tcPr>
          <w:p w14:paraId="5D7AAC66" w14:textId="77777777" w:rsidR="00E30385" w:rsidRPr="004E07A2" w:rsidRDefault="00E30385" w:rsidP="00B30CCB">
            <w:pPr>
              <w:rPr>
                <w:rFonts w:ascii="Calibri" w:hAnsi="Calibri"/>
                <w:bCs/>
                <w:lang w:val="en-IE"/>
              </w:rPr>
            </w:pPr>
            <w:r w:rsidRPr="004E07A2">
              <w:rPr>
                <w:rFonts w:ascii="Calibri" w:hAnsi="Calibri"/>
                <w:bCs/>
                <w:lang w:val="en-IE"/>
              </w:rPr>
              <w:t>pages</w:t>
            </w:r>
          </w:p>
        </w:tc>
        <w:tc>
          <w:tcPr>
            <w:tcW w:w="1112" w:type="dxa"/>
            <w:shd w:val="clear" w:color="auto" w:fill="auto"/>
          </w:tcPr>
          <w:p w14:paraId="5D7AAC67" w14:textId="77777777" w:rsidR="00E30385" w:rsidRPr="004E07A2" w:rsidRDefault="00E30385" w:rsidP="00E06A80">
            <w:pPr>
              <w:rPr>
                <w:rFonts w:ascii="Calibri" w:hAnsi="Calibri"/>
                <w:bCs/>
                <w:lang w:val="en-IE"/>
              </w:rPr>
            </w:pPr>
          </w:p>
        </w:tc>
        <w:tc>
          <w:tcPr>
            <w:tcW w:w="1408" w:type="dxa"/>
            <w:shd w:val="clear" w:color="auto" w:fill="auto"/>
          </w:tcPr>
          <w:p w14:paraId="5D7AAC68" w14:textId="77777777" w:rsidR="00E30385" w:rsidRPr="004E07A2" w:rsidRDefault="00E30385" w:rsidP="00E06A80">
            <w:pPr>
              <w:rPr>
                <w:rFonts w:ascii="Calibri" w:hAnsi="Calibri"/>
                <w:bCs/>
                <w:lang w:val="en-IE"/>
              </w:rPr>
            </w:pPr>
          </w:p>
        </w:tc>
        <w:tc>
          <w:tcPr>
            <w:tcW w:w="1408" w:type="dxa"/>
            <w:shd w:val="clear" w:color="auto" w:fill="auto"/>
          </w:tcPr>
          <w:p w14:paraId="5D7AAC69" w14:textId="77777777" w:rsidR="00E30385" w:rsidRPr="004E07A2" w:rsidRDefault="007F6171" w:rsidP="00E06A80">
            <w:pPr>
              <w:rPr>
                <w:rFonts w:ascii="Calibri" w:hAnsi="Calibri"/>
                <w:bCs/>
                <w:lang w:val="en-IE"/>
              </w:rPr>
            </w:pPr>
            <w:r w:rsidRPr="004E07A2">
              <w:rPr>
                <w:rFonts w:ascii="Calibri" w:hAnsi="Calibri"/>
                <w:bCs/>
                <w:lang w:val="en-IE"/>
              </w:rPr>
              <w:t>1</w:t>
            </w:r>
          </w:p>
        </w:tc>
      </w:tr>
    </w:tbl>
    <w:p w14:paraId="5D7AAC6B" w14:textId="77777777" w:rsidR="001F7566" w:rsidRPr="004E07A2" w:rsidRDefault="001F7566" w:rsidP="001F7566">
      <w:pPr>
        <w:pStyle w:val="Heading1"/>
        <w:jc w:val="center"/>
        <w:rPr>
          <w:rFonts w:ascii="Calibri" w:hAnsi="Calibri" w:cs="Times New Roman"/>
          <w:bCs w:val="0"/>
          <w:kern w:val="0"/>
          <w:sz w:val="20"/>
          <w:szCs w:val="24"/>
          <w:lang w:val="en-IE"/>
        </w:rPr>
      </w:pPr>
      <w:r w:rsidRPr="004E07A2">
        <w:rPr>
          <w:rFonts w:ascii="Calibri" w:hAnsi="Calibri" w:cs="Times New Roman"/>
          <w:bCs w:val="0"/>
          <w:kern w:val="0"/>
          <w:sz w:val="20"/>
          <w:szCs w:val="24"/>
          <w:lang w:val="en-IE"/>
        </w:rPr>
        <w:t>Version Control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1"/>
        <w:gridCol w:w="2193"/>
        <w:gridCol w:w="1476"/>
        <w:gridCol w:w="1476"/>
        <w:gridCol w:w="1476"/>
      </w:tblGrid>
      <w:tr w:rsidR="001F7566" w:rsidRPr="004E07A2" w14:paraId="5D7AAC72" w14:textId="77777777" w:rsidTr="00E06A80">
        <w:tc>
          <w:tcPr>
            <w:tcW w:w="1384" w:type="dxa"/>
            <w:shd w:val="clear" w:color="auto" w:fill="auto"/>
          </w:tcPr>
          <w:p w14:paraId="5D7AAC6C" w14:textId="77777777" w:rsidR="001F7566" w:rsidRPr="004E07A2" w:rsidRDefault="001F7566" w:rsidP="001F7566">
            <w:pPr>
              <w:rPr>
                <w:rFonts w:ascii="Calibri" w:hAnsi="Calibri"/>
                <w:b/>
                <w:sz w:val="22"/>
                <w:szCs w:val="22"/>
                <w:lang w:val="en-IE"/>
              </w:rPr>
            </w:pPr>
            <w:r w:rsidRPr="004E07A2">
              <w:rPr>
                <w:rFonts w:ascii="Calibri" w:hAnsi="Calibri"/>
                <w:b/>
                <w:sz w:val="22"/>
                <w:szCs w:val="22"/>
                <w:lang w:val="en-IE"/>
              </w:rPr>
              <w:t>Version No.</w:t>
            </w:r>
          </w:p>
        </w:tc>
        <w:tc>
          <w:tcPr>
            <w:tcW w:w="851" w:type="dxa"/>
            <w:shd w:val="clear" w:color="auto" w:fill="auto"/>
          </w:tcPr>
          <w:p w14:paraId="5D7AAC6D" w14:textId="77777777" w:rsidR="001F7566" w:rsidRPr="004E07A2" w:rsidRDefault="001F7566" w:rsidP="001F7566">
            <w:pPr>
              <w:rPr>
                <w:rFonts w:ascii="Calibri" w:hAnsi="Calibri"/>
                <w:b/>
                <w:sz w:val="22"/>
                <w:szCs w:val="22"/>
                <w:lang w:val="en-IE"/>
              </w:rPr>
            </w:pPr>
            <w:r w:rsidRPr="004E07A2">
              <w:rPr>
                <w:rFonts w:ascii="Calibri" w:hAnsi="Calibri"/>
                <w:b/>
                <w:sz w:val="22"/>
                <w:szCs w:val="22"/>
                <w:lang w:val="en-IE"/>
              </w:rPr>
              <w:t>Status</w:t>
            </w:r>
          </w:p>
        </w:tc>
        <w:tc>
          <w:tcPr>
            <w:tcW w:w="2193" w:type="dxa"/>
            <w:shd w:val="clear" w:color="auto" w:fill="auto"/>
          </w:tcPr>
          <w:p w14:paraId="5D7AAC6E" w14:textId="77777777" w:rsidR="001F7566" w:rsidRPr="004E07A2" w:rsidRDefault="001F7566" w:rsidP="001F7566">
            <w:pPr>
              <w:rPr>
                <w:rFonts w:ascii="Calibri" w:hAnsi="Calibri"/>
                <w:b/>
                <w:sz w:val="22"/>
                <w:szCs w:val="22"/>
                <w:lang w:val="en-IE"/>
              </w:rPr>
            </w:pPr>
            <w:r w:rsidRPr="004E07A2">
              <w:rPr>
                <w:rFonts w:ascii="Calibri" w:hAnsi="Calibri"/>
                <w:b/>
                <w:sz w:val="22"/>
                <w:szCs w:val="22"/>
                <w:lang w:val="en-IE"/>
              </w:rPr>
              <w:t>Author (s)</w:t>
            </w:r>
          </w:p>
        </w:tc>
        <w:tc>
          <w:tcPr>
            <w:tcW w:w="1476" w:type="dxa"/>
            <w:shd w:val="clear" w:color="auto" w:fill="auto"/>
          </w:tcPr>
          <w:p w14:paraId="5D7AAC6F" w14:textId="77777777" w:rsidR="001F7566" w:rsidRPr="004E07A2" w:rsidRDefault="001F7566" w:rsidP="001F7566">
            <w:pPr>
              <w:rPr>
                <w:rFonts w:ascii="Calibri" w:hAnsi="Calibri"/>
                <w:b/>
                <w:sz w:val="22"/>
                <w:szCs w:val="22"/>
                <w:lang w:val="en-IE"/>
              </w:rPr>
            </w:pPr>
            <w:r w:rsidRPr="004E07A2">
              <w:rPr>
                <w:rFonts w:ascii="Calibri" w:hAnsi="Calibri"/>
                <w:b/>
                <w:sz w:val="22"/>
                <w:szCs w:val="22"/>
                <w:lang w:val="en-IE"/>
              </w:rPr>
              <w:t>Reviewed By</w:t>
            </w:r>
          </w:p>
        </w:tc>
        <w:tc>
          <w:tcPr>
            <w:tcW w:w="1476" w:type="dxa"/>
            <w:shd w:val="clear" w:color="auto" w:fill="auto"/>
          </w:tcPr>
          <w:p w14:paraId="5D7AAC70" w14:textId="77777777" w:rsidR="001F7566" w:rsidRPr="004E07A2" w:rsidRDefault="001F7566" w:rsidP="001F7566">
            <w:pPr>
              <w:rPr>
                <w:rFonts w:ascii="Calibri" w:hAnsi="Calibri"/>
                <w:b/>
                <w:sz w:val="22"/>
                <w:szCs w:val="22"/>
                <w:lang w:val="en-IE"/>
              </w:rPr>
            </w:pPr>
            <w:r w:rsidRPr="004E07A2">
              <w:rPr>
                <w:rFonts w:ascii="Calibri" w:hAnsi="Calibri"/>
                <w:b/>
                <w:sz w:val="22"/>
                <w:szCs w:val="22"/>
                <w:lang w:val="en-IE"/>
              </w:rPr>
              <w:t>Approved By</w:t>
            </w:r>
          </w:p>
        </w:tc>
        <w:tc>
          <w:tcPr>
            <w:tcW w:w="1476" w:type="dxa"/>
            <w:shd w:val="clear" w:color="auto" w:fill="auto"/>
          </w:tcPr>
          <w:p w14:paraId="5D7AAC71" w14:textId="77777777" w:rsidR="001F7566" w:rsidRPr="004E07A2" w:rsidRDefault="001F7566" w:rsidP="001F7566">
            <w:pPr>
              <w:rPr>
                <w:rFonts w:ascii="Calibri" w:hAnsi="Calibri"/>
                <w:b/>
                <w:sz w:val="22"/>
                <w:szCs w:val="22"/>
                <w:lang w:val="en-IE"/>
              </w:rPr>
            </w:pPr>
            <w:r w:rsidRPr="004E07A2">
              <w:rPr>
                <w:rFonts w:ascii="Calibri" w:hAnsi="Calibri"/>
                <w:b/>
                <w:sz w:val="22"/>
                <w:szCs w:val="22"/>
                <w:lang w:val="en-IE"/>
              </w:rPr>
              <w:t>Date of Issue</w:t>
            </w:r>
          </w:p>
        </w:tc>
      </w:tr>
      <w:tr w:rsidR="001F7566" w:rsidRPr="004E07A2" w14:paraId="5D7AAC79" w14:textId="77777777" w:rsidTr="00E06A80">
        <w:tc>
          <w:tcPr>
            <w:tcW w:w="1384" w:type="dxa"/>
            <w:shd w:val="clear" w:color="auto" w:fill="auto"/>
          </w:tcPr>
          <w:p w14:paraId="5D7AAC73" w14:textId="56EABD3E" w:rsidR="001F7566" w:rsidRPr="004E07A2" w:rsidRDefault="001F7566" w:rsidP="001F7566">
            <w:pPr>
              <w:rPr>
                <w:rFonts w:ascii="Calibri" w:hAnsi="Calibri"/>
                <w:sz w:val="22"/>
                <w:szCs w:val="22"/>
                <w:lang w:val="en-IE"/>
              </w:rPr>
            </w:pPr>
            <w:r w:rsidRPr="004E07A2">
              <w:rPr>
                <w:rFonts w:ascii="Calibri" w:hAnsi="Calibri"/>
                <w:sz w:val="22"/>
                <w:szCs w:val="22"/>
                <w:lang w:val="en-IE"/>
              </w:rPr>
              <w:t>V. 0</w:t>
            </w:r>
            <w:r w:rsidR="003372D3">
              <w:rPr>
                <w:rFonts w:ascii="Calibri" w:hAnsi="Calibri"/>
                <w:sz w:val="22"/>
                <w:szCs w:val="22"/>
                <w:lang w:val="en-IE"/>
              </w:rPr>
              <w:t>2</w:t>
            </w:r>
          </w:p>
        </w:tc>
        <w:tc>
          <w:tcPr>
            <w:tcW w:w="851" w:type="dxa"/>
            <w:shd w:val="clear" w:color="auto" w:fill="auto"/>
          </w:tcPr>
          <w:p w14:paraId="5D7AAC74" w14:textId="77777777" w:rsidR="001F7566" w:rsidRPr="004E07A2" w:rsidRDefault="001F7566" w:rsidP="001F7566">
            <w:pPr>
              <w:rPr>
                <w:rFonts w:ascii="Calibri" w:hAnsi="Calibri"/>
                <w:sz w:val="22"/>
                <w:szCs w:val="22"/>
                <w:lang w:val="en-IE"/>
              </w:rPr>
            </w:pPr>
            <w:r w:rsidRPr="004E07A2">
              <w:rPr>
                <w:rFonts w:ascii="Calibri" w:hAnsi="Calibri"/>
                <w:sz w:val="22"/>
                <w:szCs w:val="22"/>
                <w:lang w:val="en-IE"/>
              </w:rPr>
              <w:t>Draft</w:t>
            </w:r>
          </w:p>
        </w:tc>
        <w:tc>
          <w:tcPr>
            <w:tcW w:w="2193" w:type="dxa"/>
            <w:shd w:val="clear" w:color="auto" w:fill="auto"/>
          </w:tcPr>
          <w:p w14:paraId="5D7AAC75" w14:textId="77777777" w:rsidR="001F7566" w:rsidRPr="004E07A2" w:rsidRDefault="00612517" w:rsidP="001F7566">
            <w:pPr>
              <w:rPr>
                <w:rFonts w:ascii="Calibri" w:hAnsi="Calibri"/>
                <w:sz w:val="22"/>
                <w:szCs w:val="22"/>
                <w:lang w:val="en-IE"/>
              </w:rPr>
            </w:pPr>
            <w:r w:rsidRPr="004E07A2">
              <w:rPr>
                <w:rFonts w:ascii="Calibri" w:hAnsi="Calibri"/>
                <w:sz w:val="22"/>
                <w:szCs w:val="22"/>
                <w:lang w:val="en-IE"/>
              </w:rPr>
              <w:t>Brian Beckett</w:t>
            </w:r>
          </w:p>
        </w:tc>
        <w:tc>
          <w:tcPr>
            <w:tcW w:w="1476" w:type="dxa"/>
            <w:shd w:val="clear" w:color="auto" w:fill="auto"/>
          </w:tcPr>
          <w:p w14:paraId="5D7AAC76" w14:textId="77777777" w:rsidR="001F7566" w:rsidRPr="004E07A2" w:rsidRDefault="00612517" w:rsidP="001F7566">
            <w:pPr>
              <w:rPr>
                <w:rFonts w:ascii="Calibri" w:hAnsi="Calibri"/>
                <w:sz w:val="22"/>
                <w:szCs w:val="22"/>
                <w:lang w:val="en-IE"/>
              </w:rPr>
            </w:pPr>
            <w:r w:rsidRPr="004E07A2">
              <w:rPr>
                <w:rFonts w:ascii="Calibri" w:hAnsi="Calibri"/>
                <w:sz w:val="22"/>
                <w:szCs w:val="22"/>
                <w:lang w:val="en-IE"/>
              </w:rPr>
              <w:t>IFI RBDMT</w:t>
            </w:r>
          </w:p>
        </w:tc>
        <w:tc>
          <w:tcPr>
            <w:tcW w:w="1476" w:type="dxa"/>
            <w:shd w:val="clear" w:color="auto" w:fill="auto"/>
          </w:tcPr>
          <w:p w14:paraId="5D7AAC77" w14:textId="77777777" w:rsidR="001F7566" w:rsidRPr="004E07A2" w:rsidRDefault="00612517" w:rsidP="001F7566">
            <w:pPr>
              <w:rPr>
                <w:rFonts w:ascii="Calibri" w:hAnsi="Calibri"/>
                <w:sz w:val="22"/>
                <w:szCs w:val="22"/>
                <w:lang w:val="en-IE"/>
              </w:rPr>
            </w:pPr>
            <w:proofErr w:type="spellStart"/>
            <w:r w:rsidRPr="004E07A2">
              <w:rPr>
                <w:rFonts w:ascii="Calibri" w:hAnsi="Calibri"/>
                <w:sz w:val="22"/>
                <w:szCs w:val="22"/>
                <w:lang w:val="en-IE"/>
              </w:rPr>
              <w:t>Dr.</w:t>
            </w:r>
            <w:proofErr w:type="spellEnd"/>
            <w:r w:rsidRPr="004E07A2">
              <w:rPr>
                <w:rFonts w:ascii="Calibri" w:hAnsi="Calibri"/>
                <w:sz w:val="22"/>
                <w:szCs w:val="22"/>
                <w:lang w:val="en-IE"/>
              </w:rPr>
              <w:t xml:space="preserve"> Greg Forde</w:t>
            </w:r>
          </w:p>
        </w:tc>
        <w:tc>
          <w:tcPr>
            <w:tcW w:w="1476" w:type="dxa"/>
            <w:shd w:val="clear" w:color="auto" w:fill="auto"/>
          </w:tcPr>
          <w:p w14:paraId="5D7AAC78" w14:textId="77777777" w:rsidR="001F7566" w:rsidRPr="004E07A2" w:rsidRDefault="001F7566" w:rsidP="001F7566">
            <w:pPr>
              <w:rPr>
                <w:rFonts w:ascii="Calibri" w:hAnsi="Calibri"/>
                <w:sz w:val="22"/>
                <w:szCs w:val="22"/>
                <w:lang w:val="en-IE"/>
              </w:rPr>
            </w:pPr>
          </w:p>
        </w:tc>
      </w:tr>
      <w:tr w:rsidR="001F7566" w:rsidRPr="004E07A2" w14:paraId="5D7AAC80" w14:textId="77777777" w:rsidTr="00E06A80">
        <w:tc>
          <w:tcPr>
            <w:tcW w:w="1384" w:type="dxa"/>
            <w:shd w:val="clear" w:color="auto" w:fill="auto"/>
          </w:tcPr>
          <w:p w14:paraId="5D7AAC7A" w14:textId="77777777" w:rsidR="001F7566" w:rsidRPr="004E07A2" w:rsidRDefault="001F7566" w:rsidP="001F7566">
            <w:pPr>
              <w:rPr>
                <w:rFonts w:ascii="Calibri" w:hAnsi="Calibri"/>
                <w:lang w:val="en-IE"/>
              </w:rPr>
            </w:pPr>
          </w:p>
        </w:tc>
        <w:tc>
          <w:tcPr>
            <w:tcW w:w="851" w:type="dxa"/>
            <w:shd w:val="clear" w:color="auto" w:fill="auto"/>
          </w:tcPr>
          <w:p w14:paraId="5D7AAC7B" w14:textId="77777777" w:rsidR="001F7566" w:rsidRPr="004E07A2" w:rsidRDefault="001F7566" w:rsidP="001F7566">
            <w:pPr>
              <w:rPr>
                <w:rFonts w:ascii="Calibri" w:hAnsi="Calibri"/>
                <w:lang w:val="en-IE"/>
              </w:rPr>
            </w:pPr>
          </w:p>
        </w:tc>
        <w:tc>
          <w:tcPr>
            <w:tcW w:w="2193" w:type="dxa"/>
            <w:shd w:val="clear" w:color="auto" w:fill="auto"/>
          </w:tcPr>
          <w:p w14:paraId="5D7AAC7C" w14:textId="77777777" w:rsidR="001F7566" w:rsidRPr="004E07A2" w:rsidRDefault="001F7566" w:rsidP="001F7566">
            <w:pPr>
              <w:rPr>
                <w:rFonts w:ascii="Calibri" w:hAnsi="Calibri"/>
                <w:lang w:val="en-IE"/>
              </w:rPr>
            </w:pPr>
          </w:p>
        </w:tc>
        <w:tc>
          <w:tcPr>
            <w:tcW w:w="1476" w:type="dxa"/>
            <w:shd w:val="clear" w:color="auto" w:fill="auto"/>
          </w:tcPr>
          <w:p w14:paraId="5D7AAC7D" w14:textId="77777777" w:rsidR="001F7566" w:rsidRPr="004E07A2" w:rsidRDefault="001F7566" w:rsidP="001F7566">
            <w:pPr>
              <w:rPr>
                <w:rFonts w:ascii="Calibri" w:hAnsi="Calibri"/>
                <w:lang w:val="en-IE"/>
              </w:rPr>
            </w:pPr>
          </w:p>
        </w:tc>
        <w:tc>
          <w:tcPr>
            <w:tcW w:w="1476" w:type="dxa"/>
            <w:shd w:val="clear" w:color="auto" w:fill="auto"/>
          </w:tcPr>
          <w:p w14:paraId="5D7AAC7E" w14:textId="77777777" w:rsidR="001F7566" w:rsidRPr="004E07A2" w:rsidRDefault="001F7566" w:rsidP="001F7566">
            <w:pPr>
              <w:rPr>
                <w:rFonts w:ascii="Calibri" w:hAnsi="Calibri"/>
                <w:lang w:val="en-IE"/>
              </w:rPr>
            </w:pPr>
          </w:p>
        </w:tc>
        <w:tc>
          <w:tcPr>
            <w:tcW w:w="1476" w:type="dxa"/>
            <w:shd w:val="clear" w:color="auto" w:fill="auto"/>
          </w:tcPr>
          <w:p w14:paraId="5D7AAC7F" w14:textId="77777777" w:rsidR="001F7566" w:rsidRPr="004E07A2" w:rsidRDefault="001F7566" w:rsidP="001F7566">
            <w:pPr>
              <w:rPr>
                <w:rFonts w:ascii="Calibri" w:hAnsi="Calibri"/>
                <w:lang w:val="en-IE"/>
              </w:rPr>
            </w:pPr>
          </w:p>
        </w:tc>
      </w:tr>
      <w:tr w:rsidR="001F7566" w:rsidRPr="004E07A2" w14:paraId="5D7AAC87" w14:textId="77777777" w:rsidTr="00E06A80">
        <w:tc>
          <w:tcPr>
            <w:tcW w:w="1384" w:type="dxa"/>
            <w:shd w:val="clear" w:color="auto" w:fill="auto"/>
          </w:tcPr>
          <w:p w14:paraId="5D7AAC81" w14:textId="77777777" w:rsidR="001F7566" w:rsidRPr="004E07A2" w:rsidRDefault="001F7566" w:rsidP="001F7566">
            <w:pPr>
              <w:rPr>
                <w:rFonts w:ascii="Calibri" w:hAnsi="Calibri"/>
                <w:lang w:val="en-IE"/>
              </w:rPr>
            </w:pPr>
          </w:p>
        </w:tc>
        <w:tc>
          <w:tcPr>
            <w:tcW w:w="851" w:type="dxa"/>
            <w:shd w:val="clear" w:color="auto" w:fill="auto"/>
          </w:tcPr>
          <w:p w14:paraId="5D7AAC82" w14:textId="77777777" w:rsidR="001F7566" w:rsidRPr="004E07A2" w:rsidRDefault="001F7566" w:rsidP="001F7566">
            <w:pPr>
              <w:rPr>
                <w:rFonts w:ascii="Calibri" w:hAnsi="Calibri"/>
                <w:lang w:val="en-IE"/>
              </w:rPr>
            </w:pPr>
          </w:p>
        </w:tc>
        <w:tc>
          <w:tcPr>
            <w:tcW w:w="2193" w:type="dxa"/>
            <w:shd w:val="clear" w:color="auto" w:fill="auto"/>
          </w:tcPr>
          <w:p w14:paraId="5D7AAC83" w14:textId="77777777" w:rsidR="001F7566" w:rsidRPr="004E07A2" w:rsidRDefault="001F7566" w:rsidP="001F7566">
            <w:pPr>
              <w:rPr>
                <w:rFonts w:ascii="Calibri" w:hAnsi="Calibri"/>
                <w:lang w:val="en-IE"/>
              </w:rPr>
            </w:pPr>
          </w:p>
        </w:tc>
        <w:tc>
          <w:tcPr>
            <w:tcW w:w="1476" w:type="dxa"/>
            <w:shd w:val="clear" w:color="auto" w:fill="auto"/>
          </w:tcPr>
          <w:p w14:paraId="5D7AAC84" w14:textId="77777777" w:rsidR="001F7566" w:rsidRPr="004E07A2" w:rsidRDefault="001F7566" w:rsidP="001F7566">
            <w:pPr>
              <w:rPr>
                <w:rFonts w:ascii="Calibri" w:hAnsi="Calibri"/>
                <w:lang w:val="en-IE"/>
              </w:rPr>
            </w:pPr>
          </w:p>
        </w:tc>
        <w:tc>
          <w:tcPr>
            <w:tcW w:w="1476" w:type="dxa"/>
            <w:shd w:val="clear" w:color="auto" w:fill="auto"/>
          </w:tcPr>
          <w:p w14:paraId="5D7AAC85" w14:textId="77777777" w:rsidR="001F7566" w:rsidRPr="004E07A2" w:rsidRDefault="001F7566" w:rsidP="001F7566">
            <w:pPr>
              <w:rPr>
                <w:rFonts w:ascii="Calibri" w:hAnsi="Calibri"/>
                <w:lang w:val="en-IE"/>
              </w:rPr>
            </w:pPr>
          </w:p>
        </w:tc>
        <w:tc>
          <w:tcPr>
            <w:tcW w:w="1476" w:type="dxa"/>
            <w:shd w:val="clear" w:color="auto" w:fill="auto"/>
          </w:tcPr>
          <w:p w14:paraId="5D7AAC86" w14:textId="77777777" w:rsidR="001F7566" w:rsidRPr="004E07A2" w:rsidRDefault="001F7566" w:rsidP="001F7566">
            <w:pPr>
              <w:rPr>
                <w:rFonts w:ascii="Calibri" w:hAnsi="Calibri"/>
                <w:lang w:val="en-IE"/>
              </w:rPr>
            </w:pPr>
          </w:p>
        </w:tc>
      </w:tr>
      <w:tr w:rsidR="001F7566" w:rsidRPr="004E07A2" w14:paraId="5D7AAC8E" w14:textId="77777777" w:rsidTr="00E06A80">
        <w:tc>
          <w:tcPr>
            <w:tcW w:w="1384" w:type="dxa"/>
            <w:shd w:val="clear" w:color="auto" w:fill="auto"/>
          </w:tcPr>
          <w:p w14:paraId="5D7AAC88" w14:textId="77777777" w:rsidR="001F7566" w:rsidRPr="004E07A2" w:rsidRDefault="001F7566" w:rsidP="001F7566">
            <w:pPr>
              <w:rPr>
                <w:rFonts w:ascii="Calibri" w:hAnsi="Calibri"/>
                <w:lang w:val="en-IE"/>
              </w:rPr>
            </w:pPr>
          </w:p>
        </w:tc>
        <w:tc>
          <w:tcPr>
            <w:tcW w:w="851" w:type="dxa"/>
            <w:shd w:val="clear" w:color="auto" w:fill="auto"/>
          </w:tcPr>
          <w:p w14:paraId="5D7AAC89" w14:textId="77777777" w:rsidR="001F7566" w:rsidRPr="004E07A2" w:rsidRDefault="001F7566" w:rsidP="001F7566">
            <w:pPr>
              <w:rPr>
                <w:rFonts w:ascii="Calibri" w:hAnsi="Calibri"/>
                <w:lang w:val="en-IE"/>
              </w:rPr>
            </w:pPr>
          </w:p>
        </w:tc>
        <w:tc>
          <w:tcPr>
            <w:tcW w:w="2193" w:type="dxa"/>
            <w:shd w:val="clear" w:color="auto" w:fill="auto"/>
          </w:tcPr>
          <w:p w14:paraId="5D7AAC8A" w14:textId="77777777" w:rsidR="001F7566" w:rsidRPr="004E07A2" w:rsidRDefault="001F7566" w:rsidP="001F7566">
            <w:pPr>
              <w:rPr>
                <w:rFonts w:ascii="Calibri" w:hAnsi="Calibri"/>
                <w:lang w:val="en-IE"/>
              </w:rPr>
            </w:pPr>
          </w:p>
        </w:tc>
        <w:tc>
          <w:tcPr>
            <w:tcW w:w="1476" w:type="dxa"/>
            <w:shd w:val="clear" w:color="auto" w:fill="auto"/>
          </w:tcPr>
          <w:p w14:paraId="5D7AAC8B" w14:textId="77777777" w:rsidR="001F7566" w:rsidRPr="004E07A2" w:rsidRDefault="001F7566" w:rsidP="001F7566">
            <w:pPr>
              <w:rPr>
                <w:rFonts w:ascii="Calibri" w:hAnsi="Calibri"/>
                <w:lang w:val="en-IE"/>
              </w:rPr>
            </w:pPr>
          </w:p>
        </w:tc>
        <w:tc>
          <w:tcPr>
            <w:tcW w:w="1476" w:type="dxa"/>
            <w:shd w:val="clear" w:color="auto" w:fill="auto"/>
          </w:tcPr>
          <w:p w14:paraId="5D7AAC8C" w14:textId="77777777" w:rsidR="001F7566" w:rsidRPr="004E07A2" w:rsidRDefault="001F7566" w:rsidP="001F7566">
            <w:pPr>
              <w:rPr>
                <w:rFonts w:ascii="Calibri" w:hAnsi="Calibri"/>
                <w:lang w:val="en-IE"/>
              </w:rPr>
            </w:pPr>
          </w:p>
        </w:tc>
        <w:tc>
          <w:tcPr>
            <w:tcW w:w="1476" w:type="dxa"/>
            <w:shd w:val="clear" w:color="auto" w:fill="auto"/>
          </w:tcPr>
          <w:p w14:paraId="5D7AAC8D" w14:textId="77777777" w:rsidR="001F7566" w:rsidRPr="004E07A2" w:rsidRDefault="001F7566" w:rsidP="001F7566">
            <w:pPr>
              <w:rPr>
                <w:rFonts w:ascii="Calibri" w:hAnsi="Calibri"/>
                <w:lang w:val="en-IE"/>
              </w:rPr>
            </w:pPr>
          </w:p>
        </w:tc>
      </w:tr>
    </w:tbl>
    <w:p w14:paraId="5D7AAC8F" w14:textId="77777777" w:rsidR="00612517" w:rsidRPr="004E07A2" w:rsidRDefault="00612517" w:rsidP="00097848">
      <w:pPr>
        <w:pStyle w:val="Heading1"/>
        <w:rPr>
          <w:rFonts w:ascii="Calibri" w:hAnsi="Calibri"/>
          <w:lang w:val="en-IE"/>
        </w:rPr>
      </w:pPr>
    </w:p>
    <w:p w14:paraId="5D7AAC90" w14:textId="77777777" w:rsidR="001E64D7" w:rsidRPr="004E07A2" w:rsidRDefault="001E64D7" w:rsidP="001E64D7">
      <w:pPr>
        <w:pStyle w:val="DeeStyle1"/>
        <w:spacing w:line="276" w:lineRule="auto"/>
        <w:rPr>
          <w:sz w:val="24"/>
          <w:lang w:val="en-IE"/>
        </w:rPr>
      </w:pPr>
    </w:p>
    <w:p w14:paraId="5D7AAC91" w14:textId="77777777" w:rsidR="001E64D7" w:rsidRPr="004E07A2" w:rsidRDefault="001E64D7" w:rsidP="001E64D7">
      <w:pPr>
        <w:pStyle w:val="DeeStyle1"/>
        <w:spacing w:line="276" w:lineRule="auto"/>
        <w:rPr>
          <w:sz w:val="24"/>
          <w:lang w:val="en-IE"/>
        </w:rPr>
      </w:pPr>
    </w:p>
    <w:p w14:paraId="5D7AAC92" w14:textId="77777777" w:rsidR="001E64D7" w:rsidRPr="004E07A2" w:rsidRDefault="001E64D7" w:rsidP="001E64D7">
      <w:pPr>
        <w:pStyle w:val="DeeStyle1"/>
        <w:spacing w:line="276" w:lineRule="auto"/>
        <w:rPr>
          <w:sz w:val="24"/>
          <w:lang w:val="en-IE"/>
        </w:rPr>
      </w:pPr>
    </w:p>
    <w:p w14:paraId="5D7AAC93" w14:textId="77777777" w:rsidR="001E64D7" w:rsidRPr="004E07A2" w:rsidRDefault="001E64D7" w:rsidP="001E64D7">
      <w:pPr>
        <w:pStyle w:val="DeeStyle1"/>
        <w:spacing w:line="276" w:lineRule="auto"/>
        <w:rPr>
          <w:sz w:val="24"/>
          <w:lang w:val="en-IE"/>
        </w:rPr>
      </w:pPr>
    </w:p>
    <w:p w14:paraId="5D7AAC94" w14:textId="77777777" w:rsidR="00FA5B8C" w:rsidRPr="004E07A2" w:rsidRDefault="00CB4F7A" w:rsidP="00254DDC">
      <w:pPr>
        <w:pStyle w:val="Heading1"/>
        <w:numPr>
          <w:ilvl w:val="0"/>
          <w:numId w:val="32"/>
        </w:numPr>
        <w:rPr>
          <w:rFonts w:ascii="Verdana" w:hAnsi="Verdana"/>
          <w:color w:val="17365D"/>
          <w:sz w:val="28"/>
          <w:szCs w:val="28"/>
          <w:lang w:val="en-IE"/>
        </w:rPr>
      </w:pPr>
      <w:r w:rsidRPr="004E07A2">
        <w:rPr>
          <w:rFonts w:ascii="Verdana" w:hAnsi="Verdana"/>
          <w:color w:val="17365D"/>
          <w:sz w:val="28"/>
          <w:szCs w:val="28"/>
          <w:lang w:val="en-IE"/>
        </w:rPr>
        <w:lastRenderedPageBreak/>
        <w:t>Background</w:t>
      </w:r>
    </w:p>
    <w:p w14:paraId="5D7AAC95" w14:textId="77777777" w:rsidR="00B417C3" w:rsidRPr="004E07A2" w:rsidRDefault="00B417C3" w:rsidP="00572CA5">
      <w:pPr>
        <w:spacing w:line="360" w:lineRule="auto"/>
        <w:jc w:val="both"/>
        <w:rPr>
          <w:rFonts w:ascii="Verdana" w:hAnsi="Verdana"/>
          <w:color w:val="17365D"/>
          <w:sz w:val="22"/>
          <w:szCs w:val="22"/>
          <w:lang w:val="en-IE"/>
        </w:rPr>
      </w:pPr>
    </w:p>
    <w:p w14:paraId="4E0CDECA" w14:textId="77777777" w:rsidR="00907A32" w:rsidRPr="00907A32" w:rsidRDefault="00907A32" w:rsidP="00907A32">
      <w:pPr>
        <w:jc w:val="both"/>
        <w:rPr>
          <w:rFonts w:ascii="Verdana" w:hAnsi="Verdana"/>
          <w:i/>
          <w:sz w:val="22"/>
          <w:szCs w:val="22"/>
          <w:lang w:val="en-IE"/>
        </w:rPr>
      </w:pPr>
      <w:r w:rsidRPr="00907A32">
        <w:rPr>
          <w:rFonts w:ascii="Verdana" w:hAnsi="Verdana"/>
          <w:i/>
          <w:sz w:val="22"/>
          <w:szCs w:val="22"/>
          <w:lang w:val="en-IE"/>
        </w:rPr>
        <w:t>‘Warming of the climate system is unequivocal, and since the 1950s, many of the observed changes are unprecedented over decades to millennia. The atmosphere and ocean have warmed, the amounts of snow and ice have diminished, sea level has risen, and the concentration of greenhouse gases have increased’</w:t>
      </w:r>
      <w:r w:rsidRPr="00907A32">
        <w:rPr>
          <w:rFonts w:ascii="Verdana" w:hAnsi="Verdana"/>
          <w:sz w:val="22"/>
          <w:szCs w:val="22"/>
          <w:lang w:val="en-IE"/>
        </w:rPr>
        <w:t xml:space="preserve"> (Intergovernmental Panel on Climate Change IPCC, 2013)</w:t>
      </w:r>
    </w:p>
    <w:p w14:paraId="5ECBCBD0" w14:textId="77777777" w:rsidR="00907A32" w:rsidRPr="00907A32" w:rsidRDefault="00907A32" w:rsidP="00907A32">
      <w:pPr>
        <w:jc w:val="both"/>
        <w:rPr>
          <w:rFonts w:ascii="Verdana" w:hAnsi="Verdana"/>
          <w:i/>
          <w:sz w:val="22"/>
          <w:szCs w:val="22"/>
          <w:lang w:val="en-IE"/>
        </w:rPr>
      </w:pPr>
    </w:p>
    <w:p w14:paraId="4B56E1FF" w14:textId="77777777" w:rsidR="00907A32" w:rsidRPr="00907A32" w:rsidRDefault="00907A32" w:rsidP="00907A32">
      <w:pPr>
        <w:jc w:val="both"/>
        <w:rPr>
          <w:rFonts w:ascii="Verdana" w:hAnsi="Verdana"/>
          <w:sz w:val="22"/>
          <w:szCs w:val="22"/>
          <w:lang w:val="en-IE"/>
        </w:rPr>
      </w:pPr>
      <w:r w:rsidRPr="00907A32">
        <w:rPr>
          <w:rFonts w:ascii="Verdana" w:hAnsi="Verdana"/>
          <w:i/>
          <w:sz w:val="22"/>
          <w:szCs w:val="22"/>
          <w:lang w:val="en-IE"/>
        </w:rPr>
        <w:t xml:space="preserve">‘…human activities are estimated to have caused approximately 1.0°C of global warming above pre-industrial levels, with a likely range of 0.8°C to 1.2°C. Global warming is likely to reach 1.5°C between 2030 and 2052 if it continues to increase at the current rate’ </w:t>
      </w:r>
      <w:r w:rsidRPr="00907A32">
        <w:rPr>
          <w:rFonts w:ascii="Verdana" w:hAnsi="Verdana"/>
          <w:sz w:val="22"/>
          <w:szCs w:val="22"/>
          <w:lang w:val="en-IE"/>
        </w:rPr>
        <w:t>(IPCC, 2018)</w:t>
      </w:r>
    </w:p>
    <w:p w14:paraId="5F28E201" w14:textId="77777777" w:rsidR="00907A32" w:rsidRPr="00907A32" w:rsidRDefault="00907A32" w:rsidP="00907A32">
      <w:pPr>
        <w:jc w:val="both"/>
        <w:rPr>
          <w:rFonts w:ascii="Verdana" w:hAnsi="Verdana"/>
          <w:sz w:val="22"/>
          <w:szCs w:val="22"/>
          <w:lang w:val="en-IE"/>
        </w:rPr>
      </w:pPr>
    </w:p>
    <w:p w14:paraId="3E732F8F" w14:textId="77777777" w:rsidR="00907A32" w:rsidRPr="00907A32" w:rsidRDefault="00907A32" w:rsidP="00907A32">
      <w:pPr>
        <w:jc w:val="both"/>
        <w:rPr>
          <w:rFonts w:ascii="Verdana" w:hAnsi="Verdana"/>
          <w:i/>
          <w:sz w:val="22"/>
          <w:szCs w:val="22"/>
          <w:lang w:val="en-IE"/>
        </w:rPr>
      </w:pPr>
      <w:r w:rsidRPr="00907A32">
        <w:rPr>
          <w:rFonts w:ascii="Verdana" w:hAnsi="Verdana"/>
          <w:i/>
          <w:sz w:val="22"/>
          <w:szCs w:val="22"/>
          <w:lang w:val="en-IE"/>
        </w:rPr>
        <w:t xml:space="preserve">‘…The loss of species, ecosystems and genetic diversity is already a global and generational threat to human well-being. Protecting the invaluable contributions of nature to people will be the defining challenge of decades to come. Policies, </w:t>
      </w:r>
      <w:proofErr w:type="gramStart"/>
      <w:r w:rsidRPr="00907A32">
        <w:rPr>
          <w:rFonts w:ascii="Verdana" w:hAnsi="Verdana"/>
          <w:i/>
          <w:sz w:val="22"/>
          <w:szCs w:val="22"/>
          <w:lang w:val="en-IE"/>
        </w:rPr>
        <w:t>efforts</w:t>
      </w:r>
      <w:proofErr w:type="gramEnd"/>
      <w:r w:rsidRPr="00907A32">
        <w:rPr>
          <w:rFonts w:ascii="Verdana" w:hAnsi="Verdana"/>
          <w:i/>
          <w:sz w:val="22"/>
          <w:szCs w:val="22"/>
          <w:lang w:val="en-IE"/>
        </w:rPr>
        <w:t xml:space="preserve"> and actions - at every level - will only succeed, however, when based on the best knowledge and evidence </w:t>
      </w:r>
      <w:r w:rsidRPr="00907A32">
        <w:rPr>
          <w:rFonts w:ascii="Verdana" w:hAnsi="Verdana"/>
          <w:sz w:val="22"/>
          <w:szCs w:val="22"/>
          <w:lang w:val="en-IE"/>
        </w:rPr>
        <w:t>(Intergovernmental Panel on Biodiversity and Ecosystem Services IPBES, 2018)</w:t>
      </w:r>
    </w:p>
    <w:p w14:paraId="5D7AAC97" w14:textId="77777777" w:rsidR="004D0F17" w:rsidRPr="004E07A2" w:rsidRDefault="004D0F17" w:rsidP="00572CA5">
      <w:pPr>
        <w:spacing w:line="360" w:lineRule="auto"/>
        <w:jc w:val="both"/>
        <w:rPr>
          <w:rFonts w:ascii="Verdana" w:hAnsi="Verdana"/>
          <w:sz w:val="22"/>
          <w:szCs w:val="22"/>
          <w:lang w:val="en-IE"/>
        </w:rPr>
      </w:pPr>
    </w:p>
    <w:p w14:paraId="5D7AAC98" w14:textId="77777777" w:rsidR="00FB1572" w:rsidRPr="004E07A2" w:rsidRDefault="00D764AF" w:rsidP="00FB1572">
      <w:pPr>
        <w:spacing w:line="360" w:lineRule="auto"/>
        <w:jc w:val="both"/>
        <w:rPr>
          <w:rFonts w:ascii="Verdana" w:hAnsi="Verdana"/>
          <w:sz w:val="22"/>
          <w:szCs w:val="22"/>
          <w:lang w:val="en-IE"/>
        </w:rPr>
      </w:pPr>
      <w:r w:rsidRPr="004E07A2">
        <w:rPr>
          <w:rFonts w:ascii="Verdana" w:hAnsi="Verdana"/>
          <w:sz w:val="22"/>
          <w:szCs w:val="22"/>
          <w:lang w:val="en-IE"/>
        </w:rPr>
        <w:t xml:space="preserve">As one of Ireland’s </w:t>
      </w:r>
      <w:r w:rsidR="00E7586E" w:rsidRPr="004E07A2">
        <w:rPr>
          <w:rFonts w:ascii="Verdana" w:hAnsi="Verdana"/>
          <w:sz w:val="22"/>
          <w:szCs w:val="22"/>
          <w:lang w:val="en-IE"/>
        </w:rPr>
        <w:t>core</w:t>
      </w:r>
      <w:r w:rsidRPr="004E07A2">
        <w:rPr>
          <w:rFonts w:ascii="Verdana" w:hAnsi="Verdana"/>
          <w:sz w:val="22"/>
          <w:szCs w:val="22"/>
          <w:lang w:val="en-IE"/>
        </w:rPr>
        <w:t xml:space="preserve"> environmental agencies, </w:t>
      </w:r>
      <w:r w:rsidR="00FB1572" w:rsidRPr="004E07A2">
        <w:rPr>
          <w:rFonts w:ascii="Verdana" w:hAnsi="Verdana"/>
          <w:sz w:val="22"/>
          <w:szCs w:val="22"/>
          <w:lang w:val="en-IE"/>
        </w:rPr>
        <w:t xml:space="preserve">IFI is committed to leading by example </w:t>
      </w:r>
      <w:proofErr w:type="gramStart"/>
      <w:r w:rsidR="00FB1572" w:rsidRPr="004E07A2">
        <w:rPr>
          <w:rFonts w:ascii="Verdana" w:hAnsi="Verdana"/>
          <w:sz w:val="22"/>
          <w:szCs w:val="22"/>
          <w:lang w:val="en-IE"/>
        </w:rPr>
        <w:t>in the area of</w:t>
      </w:r>
      <w:proofErr w:type="gramEnd"/>
      <w:r w:rsidR="00FB1572" w:rsidRPr="004E07A2">
        <w:rPr>
          <w:rFonts w:ascii="Verdana" w:hAnsi="Verdana"/>
          <w:sz w:val="22"/>
          <w:szCs w:val="22"/>
          <w:lang w:val="en-IE"/>
        </w:rPr>
        <w:t xml:space="preserve"> climate mitigation and adaptation</w:t>
      </w:r>
      <w:r w:rsidRPr="004E07A2">
        <w:rPr>
          <w:rFonts w:ascii="Verdana" w:hAnsi="Verdana"/>
          <w:sz w:val="22"/>
          <w:szCs w:val="22"/>
          <w:lang w:val="en-IE"/>
        </w:rPr>
        <w:t>.</w:t>
      </w:r>
      <w:r w:rsidR="00FB1572" w:rsidRPr="004E07A2">
        <w:rPr>
          <w:rFonts w:ascii="Verdana" w:hAnsi="Verdana"/>
          <w:sz w:val="22"/>
          <w:szCs w:val="22"/>
          <w:lang w:val="en-IE"/>
        </w:rPr>
        <w:t xml:space="preserve"> </w:t>
      </w:r>
      <w:r w:rsidRPr="004E07A2">
        <w:rPr>
          <w:rFonts w:ascii="Verdana" w:hAnsi="Verdana"/>
          <w:sz w:val="22"/>
          <w:szCs w:val="22"/>
          <w:lang w:val="en-IE"/>
        </w:rPr>
        <w:t>IFI</w:t>
      </w:r>
      <w:r w:rsidR="00FB1572" w:rsidRPr="004E07A2">
        <w:rPr>
          <w:rFonts w:ascii="Verdana" w:hAnsi="Verdana"/>
          <w:sz w:val="22"/>
          <w:szCs w:val="22"/>
          <w:lang w:val="en-IE"/>
        </w:rPr>
        <w:t xml:space="preserve"> </w:t>
      </w:r>
      <w:r w:rsidRPr="004E07A2">
        <w:rPr>
          <w:rFonts w:ascii="Verdana" w:hAnsi="Verdana"/>
          <w:sz w:val="22"/>
          <w:szCs w:val="22"/>
          <w:lang w:val="en-IE"/>
        </w:rPr>
        <w:t>is</w:t>
      </w:r>
      <w:r w:rsidR="00FB1572" w:rsidRPr="004E07A2">
        <w:rPr>
          <w:rFonts w:ascii="Verdana" w:hAnsi="Verdana"/>
          <w:sz w:val="22"/>
          <w:szCs w:val="22"/>
          <w:lang w:val="en-IE"/>
        </w:rPr>
        <w:t xml:space="preserve"> seeking to consolidate our Environmental Management Systems (EMS) to help us minimise the impact on the environment resulting from </w:t>
      </w:r>
      <w:r w:rsidRPr="004E07A2">
        <w:rPr>
          <w:rFonts w:ascii="Verdana" w:hAnsi="Verdana"/>
          <w:sz w:val="22"/>
          <w:szCs w:val="22"/>
          <w:lang w:val="en-IE"/>
        </w:rPr>
        <w:t>IFI</w:t>
      </w:r>
      <w:r w:rsidR="00FB1572" w:rsidRPr="004E07A2">
        <w:rPr>
          <w:rFonts w:ascii="Verdana" w:hAnsi="Verdana"/>
          <w:sz w:val="22"/>
          <w:szCs w:val="22"/>
          <w:lang w:val="en-IE"/>
        </w:rPr>
        <w:t xml:space="preserve"> activities and facilities. IFI aims to work toward certification to the international standard ISO14001 in the medium term.</w:t>
      </w:r>
    </w:p>
    <w:p w14:paraId="5D7AAC99" w14:textId="77777777" w:rsidR="00D764AF" w:rsidRPr="004E07A2" w:rsidRDefault="00D764AF" w:rsidP="00572CA5">
      <w:pPr>
        <w:spacing w:line="360" w:lineRule="auto"/>
        <w:jc w:val="both"/>
        <w:rPr>
          <w:rFonts w:ascii="Verdana" w:hAnsi="Verdana"/>
          <w:sz w:val="22"/>
          <w:szCs w:val="22"/>
          <w:lang w:val="en-IE"/>
        </w:rPr>
      </w:pPr>
    </w:p>
    <w:p w14:paraId="5D7AAC9A" w14:textId="77777777" w:rsidR="00CD2677" w:rsidRPr="004E07A2" w:rsidRDefault="00CD2677" w:rsidP="00572CA5">
      <w:pPr>
        <w:pStyle w:val="ListParagraph"/>
        <w:numPr>
          <w:ilvl w:val="1"/>
          <w:numId w:val="30"/>
        </w:numPr>
        <w:spacing w:line="360" w:lineRule="auto"/>
        <w:jc w:val="both"/>
        <w:rPr>
          <w:rFonts w:ascii="Verdana" w:hAnsi="Verdana"/>
          <w:sz w:val="24"/>
          <w:szCs w:val="24"/>
        </w:rPr>
      </w:pPr>
      <w:r w:rsidRPr="004E07A2">
        <w:rPr>
          <w:rFonts w:ascii="Verdana" w:hAnsi="Verdana"/>
          <w:sz w:val="24"/>
          <w:szCs w:val="24"/>
        </w:rPr>
        <w:t>Climate Action in Ireland</w:t>
      </w:r>
    </w:p>
    <w:p w14:paraId="323F004A" w14:textId="77777777" w:rsidR="00907A32" w:rsidRDefault="00572CA5" w:rsidP="00572CA5">
      <w:pPr>
        <w:spacing w:line="360" w:lineRule="auto"/>
        <w:jc w:val="both"/>
        <w:rPr>
          <w:rFonts w:ascii="Verdana" w:hAnsi="Verdana"/>
          <w:sz w:val="22"/>
          <w:szCs w:val="22"/>
          <w:lang w:val="en-IE"/>
        </w:rPr>
      </w:pPr>
      <w:r w:rsidRPr="004E07A2">
        <w:rPr>
          <w:rFonts w:ascii="Verdana" w:hAnsi="Verdana"/>
          <w:sz w:val="22"/>
          <w:szCs w:val="22"/>
          <w:lang w:val="en-IE"/>
        </w:rPr>
        <w:t xml:space="preserve">Ireland has put in place a detailed statutory and policy framework </w:t>
      </w:r>
      <w:r w:rsidR="00FB1572" w:rsidRPr="004E07A2">
        <w:rPr>
          <w:rFonts w:ascii="Verdana" w:hAnsi="Verdana"/>
          <w:sz w:val="22"/>
          <w:szCs w:val="22"/>
          <w:lang w:val="en-IE"/>
        </w:rPr>
        <w:t xml:space="preserve">to address </w:t>
      </w:r>
      <w:r w:rsidRPr="004E07A2">
        <w:rPr>
          <w:rFonts w:ascii="Verdana" w:hAnsi="Verdana"/>
          <w:sz w:val="22"/>
          <w:szCs w:val="22"/>
          <w:lang w:val="en-IE"/>
        </w:rPr>
        <w:t xml:space="preserve">both climate mitigation and adaptation. Ireland’s National Policy on Climate Change (2014) is based on the </w:t>
      </w:r>
      <w:r w:rsidR="00FB1572" w:rsidRPr="004E07A2">
        <w:rPr>
          <w:rFonts w:ascii="Verdana" w:hAnsi="Verdana"/>
          <w:sz w:val="22"/>
          <w:szCs w:val="22"/>
          <w:lang w:val="en-IE"/>
        </w:rPr>
        <w:t>n</w:t>
      </w:r>
      <w:r w:rsidRPr="004E07A2">
        <w:rPr>
          <w:rFonts w:ascii="Verdana" w:hAnsi="Verdana"/>
          <w:sz w:val="22"/>
          <w:szCs w:val="22"/>
          <w:lang w:val="en-IE"/>
        </w:rPr>
        <w:t xml:space="preserve">ational </w:t>
      </w:r>
      <w:r w:rsidR="00FB1572" w:rsidRPr="004E07A2">
        <w:rPr>
          <w:rFonts w:ascii="Verdana" w:hAnsi="Verdana"/>
          <w:sz w:val="22"/>
          <w:szCs w:val="22"/>
          <w:lang w:val="en-IE"/>
        </w:rPr>
        <w:t>o</w:t>
      </w:r>
      <w:r w:rsidRPr="004E07A2">
        <w:rPr>
          <w:rFonts w:ascii="Verdana" w:hAnsi="Verdana"/>
          <w:sz w:val="22"/>
          <w:szCs w:val="22"/>
          <w:lang w:val="en-IE"/>
        </w:rPr>
        <w:t>bjective of achieving a transition to a competitive, low carbon, climate resilient and environmentally sustainable economy by 2050. In terms of achieving the low carbon transition (</w:t>
      </w:r>
      <w:proofErr w:type="gramStart"/>
      <w:r w:rsidRPr="004E07A2">
        <w:rPr>
          <w:rFonts w:ascii="Verdana" w:hAnsi="Verdana"/>
          <w:sz w:val="22"/>
          <w:szCs w:val="22"/>
          <w:lang w:val="en-IE"/>
        </w:rPr>
        <w:t>i.e.</w:t>
      </w:r>
      <w:proofErr w:type="gramEnd"/>
      <w:r w:rsidRPr="004E07A2">
        <w:rPr>
          <w:rFonts w:ascii="Verdana" w:hAnsi="Verdana"/>
          <w:sz w:val="22"/>
          <w:szCs w:val="22"/>
          <w:lang w:val="en-IE"/>
        </w:rPr>
        <w:t xml:space="preserve"> mitigation) the policy is grounded in a long term vision of reducing emissions by at least 80% in key sectors (electricity generation, the built environment and transport) while pursuing an approach of carbon neutrality in the agriculture and land-use sector. </w:t>
      </w:r>
    </w:p>
    <w:p w14:paraId="5D7AAC9E" w14:textId="29D3C6AF" w:rsidR="00CD2677" w:rsidRPr="004E07A2" w:rsidRDefault="00572CA5" w:rsidP="00572CA5">
      <w:pPr>
        <w:spacing w:line="360" w:lineRule="auto"/>
        <w:jc w:val="both"/>
        <w:rPr>
          <w:rFonts w:ascii="Verdana" w:hAnsi="Verdana"/>
          <w:sz w:val="22"/>
          <w:szCs w:val="22"/>
          <w:lang w:val="en-IE"/>
        </w:rPr>
      </w:pPr>
      <w:r w:rsidRPr="004E07A2">
        <w:rPr>
          <w:rFonts w:ascii="Verdana" w:hAnsi="Verdana"/>
          <w:sz w:val="22"/>
          <w:szCs w:val="22"/>
          <w:lang w:val="en-IE"/>
        </w:rPr>
        <w:lastRenderedPageBreak/>
        <w:t xml:space="preserve">The 2015 </w:t>
      </w:r>
      <w:r w:rsidRPr="004E07A2">
        <w:rPr>
          <w:rFonts w:ascii="Verdana" w:hAnsi="Verdana"/>
          <w:i/>
          <w:sz w:val="22"/>
          <w:szCs w:val="22"/>
          <w:lang w:val="en-IE"/>
        </w:rPr>
        <w:t>Climate Action and Low Carbon Development Act</w:t>
      </w:r>
      <w:r w:rsidR="00254DDC" w:rsidRPr="004E07A2">
        <w:rPr>
          <w:rFonts w:ascii="Verdana" w:hAnsi="Verdana"/>
          <w:sz w:val="22"/>
          <w:szCs w:val="22"/>
          <w:lang w:val="en-IE"/>
        </w:rPr>
        <w:t xml:space="preserve"> </w:t>
      </w:r>
      <w:r w:rsidRPr="004E07A2">
        <w:rPr>
          <w:rFonts w:ascii="Verdana" w:hAnsi="Verdana"/>
          <w:sz w:val="22"/>
          <w:szCs w:val="22"/>
          <w:lang w:val="en-IE"/>
        </w:rPr>
        <w:t>provide</w:t>
      </w:r>
      <w:r w:rsidR="00254DDC" w:rsidRPr="004E07A2">
        <w:rPr>
          <w:rFonts w:ascii="Verdana" w:hAnsi="Verdana"/>
          <w:sz w:val="22"/>
          <w:szCs w:val="22"/>
          <w:lang w:val="en-IE"/>
        </w:rPr>
        <w:t>d</w:t>
      </w:r>
      <w:r w:rsidRPr="004E07A2">
        <w:rPr>
          <w:rFonts w:ascii="Verdana" w:hAnsi="Verdana"/>
          <w:sz w:val="22"/>
          <w:szCs w:val="22"/>
          <w:lang w:val="en-IE"/>
        </w:rPr>
        <w:t xml:space="preserve"> a statutory </w:t>
      </w:r>
      <w:r w:rsidR="00254DDC" w:rsidRPr="004E07A2">
        <w:rPr>
          <w:rFonts w:ascii="Verdana" w:hAnsi="Verdana"/>
          <w:sz w:val="22"/>
          <w:szCs w:val="22"/>
          <w:lang w:val="en-IE"/>
        </w:rPr>
        <w:t>basis</w:t>
      </w:r>
      <w:r w:rsidRPr="004E07A2">
        <w:rPr>
          <w:rFonts w:ascii="Verdana" w:hAnsi="Verdana"/>
          <w:sz w:val="22"/>
          <w:szCs w:val="22"/>
          <w:lang w:val="en-IE"/>
        </w:rPr>
        <w:t xml:space="preserve"> for the preparation of the National Mitigation Plan and the National Adaptation Framework. Both </w:t>
      </w:r>
      <w:r w:rsidR="00E7586E" w:rsidRPr="004E07A2">
        <w:rPr>
          <w:rFonts w:ascii="Verdana" w:hAnsi="Verdana"/>
          <w:sz w:val="22"/>
          <w:szCs w:val="22"/>
          <w:lang w:val="en-IE"/>
        </w:rPr>
        <w:t>are now published</w:t>
      </w:r>
      <w:r w:rsidRPr="004E07A2">
        <w:rPr>
          <w:rFonts w:ascii="Verdana" w:hAnsi="Verdana"/>
          <w:sz w:val="22"/>
          <w:szCs w:val="22"/>
          <w:lang w:val="en-IE"/>
        </w:rPr>
        <w:t xml:space="preserve"> and will be updated </w:t>
      </w:r>
      <w:r w:rsidR="00254DDC" w:rsidRPr="004E07A2">
        <w:rPr>
          <w:rFonts w:ascii="Verdana" w:hAnsi="Verdana"/>
          <w:sz w:val="22"/>
          <w:szCs w:val="22"/>
          <w:lang w:val="en-IE"/>
        </w:rPr>
        <w:t xml:space="preserve">over time </w:t>
      </w:r>
      <w:r w:rsidRPr="004E07A2">
        <w:rPr>
          <w:rFonts w:ascii="Verdana" w:hAnsi="Verdana"/>
          <w:sz w:val="22"/>
          <w:szCs w:val="22"/>
          <w:lang w:val="en-IE"/>
        </w:rPr>
        <w:t>under the 2015 Act.</w:t>
      </w:r>
    </w:p>
    <w:p w14:paraId="5D7AAC9F" w14:textId="77777777" w:rsidR="00572CA5" w:rsidRPr="004E07A2" w:rsidRDefault="00572CA5" w:rsidP="00572CA5">
      <w:pPr>
        <w:spacing w:line="360" w:lineRule="auto"/>
        <w:jc w:val="both"/>
        <w:rPr>
          <w:rFonts w:ascii="Verdana" w:hAnsi="Verdana"/>
          <w:sz w:val="22"/>
          <w:szCs w:val="22"/>
          <w:lang w:val="en-IE"/>
        </w:rPr>
      </w:pPr>
    </w:p>
    <w:p w14:paraId="5D7AACA0" w14:textId="77777777" w:rsidR="00572CA5" w:rsidRPr="004E07A2" w:rsidRDefault="00572CA5" w:rsidP="00572CA5">
      <w:pPr>
        <w:pStyle w:val="ListParagraph"/>
        <w:numPr>
          <w:ilvl w:val="1"/>
          <w:numId w:val="30"/>
        </w:numPr>
        <w:spacing w:line="360" w:lineRule="auto"/>
        <w:jc w:val="both"/>
        <w:rPr>
          <w:rFonts w:ascii="Verdana" w:hAnsi="Verdana"/>
          <w:sz w:val="24"/>
          <w:szCs w:val="24"/>
        </w:rPr>
      </w:pPr>
      <w:r w:rsidRPr="004E07A2">
        <w:rPr>
          <w:rFonts w:ascii="Verdana" w:hAnsi="Verdana"/>
          <w:sz w:val="24"/>
          <w:szCs w:val="24"/>
        </w:rPr>
        <w:t>National Mitigation Plan (July 2017)</w:t>
      </w:r>
    </w:p>
    <w:p w14:paraId="5D7AACA1" w14:textId="77777777" w:rsidR="00572CA5" w:rsidRPr="004E07A2" w:rsidRDefault="00E7586E" w:rsidP="00572CA5">
      <w:pPr>
        <w:spacing w:line="360" w:lineRule="auto"/>
        <w:jc w:val="both"/>
        <w:rPr>
          <w:rFonts w:ascii="Verdana" w:hAnsi="Verdana"/>
          <w:sz w:val="22"/>
          <w:szCs w:val="22"/>
          <w:lang w:val="en-IE"/>
        </w:rPr>
      </w:pPr>
      <w:r w:rsidRPr="004E07A2">
        <w:rPr>
          <w:rFonts w:ascii="Verdana" w:hAnsi="Verdana"/>
          <w:sz w:val="22"/>
          <w:szCs w:val="22"/>
          <w:lang w:val="en-IE"/>
        </w:rPr>
        <w:t>Every measure and action under the National Mitigation Plan is owned by a lead Department and/or Agency. The Department of Communications, Climate Action and Environment, with technical support from the Technical Research and Modelling Group (TRAM), co-ordinate this effort.</w:t>
      </w:r>
      <w:r w:rsidR="006109CC" w:rsidRPr="004E07A2">
        <w:rPr>
          <w:rFonts w:ascii="Verdana" w:hAnsi="Verdana"/>
          <w:sz w:val="22"/>
          <w:szCs w:val="22"/>
          <w:lang w:val="en-IE"/>
        </w:rPr>
        <w:t xml:space="preserve"> </w:t>
      </w:r>
      <w:r w:rsidR="00572CA5" w:rsidRPr="004E07A2">
        <w:rPr>
          <w:rFonts w:ascii="Verdana" w:hAnsi="Verdana"/>
          <w:sz w:val="22"/>
          <w:szCs w:val="22"/>
          <w:lang w:val="en-IE"/>
        </w:rPr>
        <w:t xml:space="preserve">The National Mitigation Plan includes 61 measures already in place across the four sectors of </w:t>
      </w:r>
      <w:r w:rsidR="006109CC" w:rsidRPr="004E07A2">
        <w:rPr>
          <w:rFonts w:ascii="Verdana" w:hAnsi="Verdana"/>
          <w:sz w:val="22"/>
          <w:szCs w:val="22"/>
          <w:lang w:val="en-IE"/>
        </w:rPr>
        <w:t xml:space="preserve">electricity generation, the built environment, transport, and </w:t>
      </w:r>
      <w:r w:rsidR="00572CA5" w:rsidRPr="004E07A2">
        <w:rPr>
          <w:rFonts w:ascii="Verdana" w:hAnsi="Verdana"/>
          <w:sz w:val="22"/>
          <w:szCs w:val="22"/>
          <w:lang w:val="en-IE"/>
        </w:rPr>
        <w:t>agriculture, land-</w:t>
      </w:r>
      <w:proofErr w:type="gramStart"/>
      <w:r w:rsidR="00572CA5" w:rsidRPr="004E07A2">
        <w:rPr>
          <w:rFonts w:ascii="Verdana" w:hAnsi="Verdana"/>
          <w:sz w:val="22"/>
          <w:szCs w:val="22"/>
          <w:lang w:val="en-IE"/>
        </w:rPr>
        <w:t>use</w:t>
      </w:r>
      <w:proofErr w:type="gramEnd"/>
      <w:r w:rsidR="00572CA5" w:rsidRPr="004E07A2">
        <w:rPr>
          <w:rFonts w:ascii="Verdana" w:hAnsi="Verdana"/>
          <w:sz w:val="22"/>
          <w:szCs w:val="22"/>
          <w:lang w:val="en-IE"/>
        </w:rPr>
        <w:t xml:space="preserve"> and forestry. A further 17 measures are identified for future decisions on implementation in the years ahead</w:t>
      </w:r>
      <w:r w:rsidR="006109CC" w:rsidRPr="004E07A2">
        <w:rPr>
          <w:rFonts w:ascii="Verdana" w:hAnsi="Verdana"/>
          <w:sz w:val="22"/>
          <w:szCs w:val="22"/>
          <w:lang w:val="en-IE"/>
        </w:rPr>
        <w:t xml:space="preserve"> and</w:t>
      </w:r>
      <w:r w:rsidR="00572CA5" w:rsidRPr="004E07A2">
        <w:rPr>
          <w:rFonts w:ascii="Verdana" w:hAnsi="Verdana"/>
          <w:sz w:val="22"/>
          <w:szCs w:val="22"/>
          <w:lang w:val="en-IE"/>
        </w:rPr>
        <w:t xml:space="preserve"> </w:t>
      </w:r>
      <w:r w:rsidR="006109CC" w:rsidRPr="004E07A2">
        <w:rPr>
          <w:rFonts w:ascii="Verdana" w:hAnsi="Verdana"/>
          <w:sz w:val="22"/>
          <w:szCs w:val="22"/>
          <w:lang w:val="en-IE"/>
        </w:rPr>
        <w:t>t</w:t>
      </w:r>
      <w:r w:rsidR="00572CA5" w:rsidRPr="004E07A2">
        <w:rPr>
          <w:rFonts w:ascii="Verdana" w:hAnsi="Verdana"/>
          <w:sz w:val="22"/>
          <w:szCs w:val="22"/>
          <w:lang w:val="en-IE"/>
        </w:rPr>
        <w:t xml:space="preserve">here are </w:t>
      </w:r>
      <w:r w:rsidR="006109CC" w:rsidRPr="004E07A2">
        <w:rPr>
          <w:rFonts w:ascii="Verdana" w:hAnsi="Verdana"/>
          <w:sz w:val="22"/>
          <w:szCs w:val="22"/>
          <w:lang w:val="en-IE"/>
        </w:rPr>
        <w:t>additionally</w:t>
      </w:r>
      <w:r w:rsidR="00572CA5" w:rsidRPr="004E07A2">
        <w:rPr>
          <w:rFonts w:ascii="Verdana" w:hAnsi="Verdana"/>
          <w:sz w:val="22"/>
          <w:szCs w:val="22"/>
          <w:lang w:val="en-IE"/>
        </w:rPr>
        <w:t xml:space="preserve"> 106 time-bound actions. TRAM is a cross-departmental initiative which was agreed by Government in 2015 and which aims to provide a robust evidence base for informing policy choices across the climate change agenda. The outcome of this evaluation will inform decision-making on the next steps in relation to measures under </w:t>
      </w:r>
      <w:proofErr w:type="gramStart"/>
      <w:r w:rsidR="00572CA5" w:rsidRPr="004E07A2">
        <w:rPr>
          <w:rFonts w:ascii="Verdana" w:hAnsi="Verdana"/>
          <w:sz w:val="22"/>
          <w:szCs w:val="22"/>
          <w:lang w:val="en-IE"/>
        </w:rPr>
        <w:t>consideration, and</w:t>
      </w:r>
      <w:proofErr w:type="gramEnd"/>
      <w:r w:rsidR="00572CA5" w:rsidRPr="004E07A2">
        <w:rPr>
          <w:rFonts w:ascii="Verdana" w:hAnsi="Verdana"/>
          <w:sz w:val="22"/>
          <w:szCs w:val="22"/>
          <w:lang w:val="en-IE"/>
        </w:rPr>
        <w:t xml:space="preserve"> ensure an ongoing flow of additional options for consideration over time.</w:t>
      </w:r>
    </w:p>
    <w:p w14:paraId="5D7AACA2" w14:textId="77777777" w:rsidR="00CD2677" w:rsidRPr="004E07A2" w:rsidRDefault="00CD2677" w:rsidP="00572CA5">
      <w:pPr>
        <w:spacing w:line="360" w:lineRule="auto"/>
        <w:jc w:val="both"/>
        <w:rPr>
          <w:rFonts w:ascii="Verdana" w:hAnsi="Verdana"/>
          <w:sz w:val="22"/>
          <w:szCs w:val="22"/>
          <w:lang w:val="en-IE"/>
        </w:rPr>
      </w:pPr>
    </w:p>
    <w:p w14:paraId="3C79F8F2" w14:textId="77777777" w:rsidR="00907A32" w:rsidRDefault="00572CA5" w:rsidP="00310EA7">
      <w:pPr>
        <w:spacing w:line="360" w:lineRule="auto"/>
        <w:jc w:val="both"/>
        <w:rPr>
          <w:rFonts w:ascii="Verdana" w:hAnsi="Verdana"/>
          <w:sz w:val="22"/>
          <w:szCs w:val="22"/>
          <w:lang w:val="en-IE"/>
        </w:rPr>
      </w:pPr>
      <w:r w:rsidRPr="004E07A2">
        <w:rPr>
          <w:rFonts w:ascii="Verdana" w:hAnsi="Verdana"/>
          <w:sz w:val="22"/>
          <w:szCs w:val="22"/>
          <w:lang w:val="en-IE"/>
        </w:rPr>
        <w:t xml:space="preserve">The National Mitigation Plan will be developed as a “living” document </w:t>
      </w:r>
      <w:r w:rsidR="004D0F17" w:rsidRPr="004E07A2">
        <w:rPr>
          <w:rFonts w:ascii="Verdana" w:hAnsi="Verdana"/>
          <w:sz w:val="22"/>
          <w:szCs w:val="22"/>
          <w:lang w:val="en-IE"/>
        </w:rPr>
        <w:t xml:space="preserve">with a focus on </w:t>
      </w:r>
      <w:r w:rsidRPr="004E07A2">
        <w:rPr>
          <w:rFonts w:ascii="Verdana" w:hAnsi="Verdana"/>
          <w:sz w:val="22"/>
          <w:szCs w:val="22"/>
          <w:lang w:val="en-IE"/>
        </w:rPr>
        <w:t>achiev</w:t>
      </w:r>
      <w:r w:rsidR="004D0F17" w:rsidRPr="004E07A2">
        <w:rPr>
          <w:rFonts w:ascii="Verdana" w:hAnsi="Verdana"/>
          <w:sz w:val="22"/>
          <w:szCs w:val="22"/>
          <w:lang w:val="en-IE"/>
        </w:rPr>
        <w:t>ing</w:t>
      </w:r>
      <w:r w:rsidRPr="004E07A2">
        <w:rPr>
          <w:rFonts w:ascii="Verdana" w:hAnsi="Verdana"/>
          <w:sz w:val="22"/>
          <w:szCs w:val="22"/>
          <w:lang w:val="en-IE"/>
        </w:rPr>
        <w:t xml:space="preserve"> year-on-year progress</w:t>
      </w:r>
      <w:r w:rsidR="004D0F17" w:rsidRPr="004E07A2">
        <w:rPr>
          <w:rFonts w:ascii="Verdana" w:hAnsi="Verdana"/>
          <w:sz w:val="22"/>
          <w:szCs w:val="22"/>
          <w:lang w:val="en-IE"/>
        </w:rPr>
        <w:t xml:space="preserve"> including provision of</w:t>
      </w:r>
      <w:r w:rsidRPr="004E07A2">
        <w:rPr>
          <w:rFonts w:ascii="Verdana" w:hAnsi="Verdana"/>
          <w:sz w:val="22"/>
          <w:szCs w:val="22"/>
          <w:lang w:val="en-IE"/>
        </w:rPr>
        <w:t xml:space="preserve"> </w:t>
      </w:r>
      <w:r w:rsidR="004D0F17" w:rsidRPr="004E07A2">
        <w:rPr>
          <w:rFonts w:ascii="Verdana" w:hAnsi="Verdana"/>
          <w:sz w:val="22"/>
          <w:szCs w:val="22"/>
          <w:lang w:val="en-IE"/>
        </w:rPr>
        <w:t>a</w:t>
      </w:r>
      <w:r w:rsidRPr="004E07A2">
        <w:rPr>
          <w:rFonts w:ascii="Verdana" w:hAnsi="Verdana"/>
          <w:sz w:val="22"/>
          <w:szCs w:val="22"/>
          <w:lang w:val="en-IE"/>
        </w:rPr>
        <w:t xml:space="preserve">n annual package of climate change </w:t>
      </w:r>
      <w:r w:rsidR="004D0F17" w:rsidRPr="004E07A2">
        <w:rPr>
          <w:rFonts w:ascii="Verdana" w:hAnsi="Verdana"/>
          <w:sz w:val="22"/>
          <w:szCs w:val="22"/>
          <w:lang w:val="en-IE"/>
        </w:rPr>
        <w:t>b</w:t>
      </w:r>
      <w:r w:rsidRPr="004E07A2">
        <w:rPr>
          <w:rFonts w:ascii="Verdana" w:hAnsi="Verdana"/>
          <w:sz w:val="22"/>
          <w:szCs w:val="22"/>
          <w:lang w:val="en-IE"/>
        </w:rPr>
        <w:t>udget</w:t>
      </w:r>
      <w:r w:rsidR="004D0F17" w:rsidRPr="004E07A2">
        <w:rPr>
          <w:rFonts w:ascii="Verdana" w:hAnsi="Verdana"/>
          <w:sz w:val="22"/>
          <w:szCs w:val="22"/>
          <w:lang w:val="en-IE"/>
        </w:rPr>
        <w:t>ary</w:t>
      </w:r>
      <w:r w:rsidRPr="004E07A2">
        <w:rPr>
          <w:rFonts w:ascii="Verdana" w:hAnsi="Verdana"/>
          <w:sz w:val="22"/>
          <w:szCs w:val="22"/>
          <w:lang w:val="en-IE"/>
        </w:rPr>
        <w:t xml:space="preserve"> measures. This approach will require sustained policy development, ongoing resourcing, and societal engagement – through the Citizens’ Assembly and the Natio</w:t>
      </w:r>
      <w:r w:rsidR="004D0F17" w:rsidRPr="004E07A2">
        <w:rPr>
          <w:rFonts w:ascii="Verdana" w:hAnsi="Verdana"/>
          <w:sz w:val="22"/>
          <w:szCs w:val="22"/>
          <w:lang w:val="en-IE"/>
        </w:rPr>
        <w:t>nal Dialogue on Climate Action.</w:t>
      </w:r>
      <w:r w:rsidR="006109CC" w:rsidRPr="004E07A2">
        <w:rPr>
          <w:rFonts w:ascii="Verdana" w:hAnsi="Verdana"/>
          <w:sz w:val="22"/>
          <w:szCs w:val="22"/>
          <w:lang w:val="en-IE"/>
        </w:rPr>
        <w:t xml:space="preserve"> </w:t>
      </w:r>
      <w:r w:rsidRPr="004E07A2">
        <w:rPr>
          <w:rFonts w:ascii="Verdana" w:hAnsi="Verdana"/>
          <w:sz w:val="22"/>
          <w:szCs w:val="22"/>
          <w:lang w:val="en-IE"/>
        </w:rPr>
        <w:t xml:space="preserve">In addition, the Climate Change Advisory Council was established under the 2015 Act as an independent body whose key function is to provide advice and recommendations to the Government, the Minister for Communications, Climate Action and Environment and to relevant sectoral Ministers in relation to the development of national mitigation plans and national adaptation frameworks. </w:t>
      </w:r>
    </w:p>
    <w:p w14:paraId="5D7AACA3" w14:textId="2E503FCB" w:rsidR="00572CA5" w:rsidRPr="004E07A2" w:rsidRDefault="00572CA5" w:rsidP="00310EA7">
      <w:pPr>
        <w:spacing w:line="360" w:lineRule="auto"/>
        <w:jc w:val="both"/>
        <w:rPr>
          <w:rFonts w:ascii="Verdana" w:hAnsi="Verdana"/>
          <w:sz w:val="22"/>
          <w:szCs w:val="22"/>
          <w:lang w:val="en-IE"/>
        </w:rPr>
      </w:pPr>
      <w:r w:rsidRPr="004E07A2">
        <w:rPr>
          <w:rFonts w:ascii="Verdana" w:hAnsi="Verdana"/>
          <w:sz w:val="22"/>
          <w:szCs w:val="22"/>
          <w:lang w:val="en-IE"/>
        </w:rPr>
        <w:lastRenderedPageBreak/>
        <w:t>The Advisory Council is also tasked with advising on matters relating to the achievement of Ireland’s objective to transition to a low carbon, climate resilient and sustainable</w:t>
      </w:r>
      <w:r w:rsidR="00B417C3" w:rsidRPr="004E07A2">
        <w:rPr>
          <w:rFonts w:ascii="Verdana" w:hAnsi="Verdana"/>
          <w:sz w:val="22"/>
          <w:szCs w:val="22"/>
          <w:lang w:val="en-IE"/>
        </w:rPr>
        <w:t xml:space="preserve"> </w:t>
      </w:r>
      <w:r w:rsidR="004D0F17" w:rsidRPr="004E07A2">
        <w:rPr>
          <w:rFonts w:ascii="Verdana" w:hAnsi="Verdana"/>
          <w:sz w:val="22"/>
          <w:szCs w:val="22"/>
          <w:lang w:val="en-IE"/>
        </w:rPr>
        <w:t>economy by 2050.</w:t>
      </w:r>
      <w:r w:rsidR="00CD2677" w:rsidRPr="004E07A2">
        <w:rPr>
          <w:rFonts w:ascii="Verdana" w:hAnsi="Verdana"/>
          <w:sz w:val="22"/>
          <w:szCs w:val="22"/>
          <w:lang w:val="en-IE"/>
        </w:rPr>
        <w:t xml:space="preserve"> </w:t>
      </w:r>
      <w:r w:rsidR="006109CC" w:rsidRPr="004E07A2">
        <w:rPr>
          <w:rFonts w:ascii="Verdana" w:hAnsi="Verdana"/>
          <w:sz w:val="22"/>
          <w:szCs w:val="22"/>
          <w:lang w:val="en-IE"/>
        </w:rPr>
        <w:t>The National Mitigation Plan and r</w:t>
      </w:r>
      <w:r w:rsidR="004D0F17" w:rsidRPr="004E07A2">
        <w:rPr>
          <w:rFonts w:ascii="Verdana" w:hAnsi="Verdana"/>
          <w:sz w:val="22"/>
          <w:szCs w:val="22"/>
          <w:lang w:val="en-IE"/>
        </w:rPr>
        <w:t xml:space="preserve">eports of the Climate Change Advisory Council can be found </w:t>
      </w:r>
      <w:hyperlink r:id="rId13" w:anchor="/" w:history="1">
        <w:r w:rsidR="004D0F17" w:rsidRPr="00907A32">
          <w:rPr>
            <w:rStyle w:val="Hyperlink"/>
            <w:rFonts w:ascii="Verdana" w:hAnsi="Verdana"/>
            <w:sz w:val="22"/>
            <w:szCs w:val="22"/>
            <w:lang w:val="en-IE"/>
          </w:rPr>
          <w:t>HERE</w:t>
        </w:r>
      </w:hyperlink>
      <w:r w:rsidR="004D0F17" w:rsidRPr="004E07A2">
        <w:rPr>
          <w:rFonts w:ascii="Verdana" w:hAnsi="Verdana"/>
          <w:sz w:val="22"/>
          <w:szCs w:val="22"/>
          <w:lang w:val="en-IE"/>
        </w:rPr>
        <w:t xml:space="preserve"> in IFI SharePoint</w:t>
      </w:r>
      <w:r w:rsidR="006109CC" w:rsidRPr="004E07A2">
        <w:rPr>
          <w:rFonts w:ascii="Verdana" w:hAnsi="Verdana"/>
          <w:sz w:val="22"/>
          <w:szCs w:val="22"/>
          <w:lang w:val="en-IE"/>
        </w:rPr>
        <w:t>.</w:t>
      </w:r>
    </w:p>
    <w:p w14:paraId="5D7AACA4" w14:textId="77777777" w:rsidR="00902837" w:rsidRPr="004E07A2" w:rsidRDefault="00902837" w:rsidP="009E1DAB">
      <w:pPr>
        <w:spacing w:line="360" w:lineRule="auto"/>
        <w:jc w:val="both"/>
        <w:rPr>
          <w:rFonts w:ascii="Verdana" w:hAnsi="Verdana"/>
          <w:sz w:val="22"/>
          <w:szCs w:val="22"/>
          <w:lang w:val="en-IE"/>
        </w:rPr>
      </w:pPr>
    </w:p>
    <w:p w14:paraId="5D7AACA5" w14:textId="77777777" w:rsidR="009E1DAB" w:rsidRPr="004E07A2" w:rsidRDefault="00CD2677" w:rsidP="009E1DAB">
      <w:pPr>
        <w:spacing w:line="360" w:lineRule="auto"/>
        <w:jc w:val="both"/>
        <w:rPr>
          <w:rFonts w:ascii="Verdana" w:hAnsi="Verdana"/>
          <w:sz w:val="24"/>
          <w:lang w:val="en-IE"/>
        </w:rPr>
      </w:pPr>
      <w:r w:rsidRPr="004E07A2">
        <w:rPr>
          <w:rFonts w:ascii="Verdana" w:hAnsi="Verdana"/>
          <w:sz w:val="24"/>
          <w:lang w:val="en-IE"/>
        </w:rPr>
        <w:t>1.3</w:t>
      </w:r>
      <w:r w:rsidRPr="004E07A2">
        <w:rPr>
          <w:rFonts w:ascii="Verdana" w:hAnsi="Verdana"/>
          <w:sz w:val="24"/>
          <w:lang w:val="en-IE"/>
        </w:rPr>
        <w:tab/>
      </w:r>
      <w:r w:rsidR="009E1DAB" w:rsidRPr="004E07A2">
        <w:rPr>
          <w:rFonts w:ascii="Verdana" w:hAnsi="Verdana"/>
          <w:sz w:val="24"/>
          <w:lang w:val="en-IE"/>
        </w:rPr>
        <w:t>National Adaptation Framework (October 2017)</w:t>
      </w:r>
    </w:p>
    <w:p w14:paraId="5D7AACA6" w14:textId="77777777" w:rsidR="009E1DAB" w:rsidRPr="004E07A2" w:rsidRDefault="009E1DAB" w:rsidP="009E1DAB">
      <w:pPr>
        <w:spacing w:line="360" w:lineRule="auto"/>
        <w:jc w:val="both"/>
        <w:rPr>
          <w:rFonts w:ascii="Verdana" w:hAnsi="Verdana"/>
          <w:sz w:val="22"/>
          <w:szCs w:val="22"/>
          <w:lang w:val="en-IE"/>
        </w:rPr>
      </w:pPr>
    </w:p>
    <w:p w14:paraId="5D7AACA7" w14:textId="77777777" w:rsidR="009E1DAB" w:rsidRPr="004E07A2" w:rsidRDefault="004E07A2" w:rsidP="009E1DAB">
      <w:pPr>
        <w:spacing w:line="360" w:lineRule="auto"/>
        <w:jc w:val="both"/>
        <w:rPr>
          <w:rFonts w:ascii="Verdana" w:hAnsi="Verdana"/>
          <w:sz w:val="22"/>
          <w:szCs w:val="22"/>
          <w:lang w:val="en-IE"/>
        </w:rPr>
      </w:pPr>
      <w:r w:rsidRPr="004E07A2">
        <w:rPr>
          <w:rFonts w:ascii="Verdana" w:hAnsi="Verdana"/>
          <w:sz w:val="22"/>
          <w:szCs w:val="22"/>
          <w:lang w:val="en-IE"/>
        </w:rPr>
        <w:t>Notwithstanding</w:t>
      </w:r>
      <w:r w:rsidR="009E1DAB" w:rsidRPr="004E07A2">
        <w:rPr>
          <w:rFonts w:ascii="Verdana" w:hAnsi="Verdana"/>
          <w:sz w:val="22"/>
          <w:szCs w:val="22"/>
          <w:lang w:val="en-IE"/>
        </w:rPr>
        <w:t xml:space="preserve"> climate </w:t>
      </w:r>
      <w:r w:rsidRPr="004E07A2">
        <w:rPr>
          <w:rFonts w:ascii="Verdana" w:hAnsi="Verdana"/>
          <w:sz w:val="22"/>
          <w:szCs w:val="22"/>
          <w:lang w:val="en-IE"/>
        </w:rPr>
        <w:t xml:space="preserve">change </w:t>
      </w:r>
      <w:r w:rsidR="009E1DAB" w:rsidRPr="004E07A2">
        <w:rPr>
          <w:rFonts w:ascii="Verdana" w:hAnsi="Verdana"/>
          <w:sz w:val="22"/>
          <w:szCs w:val="22"/>
          <w:lang w:val="en-IE"/>
        </w:rPr>
        <w:t>mitigation, we must also consider how we are going to adapt to climate change. We know that changes will increase in the coming decades (</w:t>
      </w:r>
      <w:proofErr w:type="gramStart"/>
      <w:r w:rsidR="009E1DAB" w:rsidRPr="004E07A2">
        <w:rPr>
          <w:rFonts w:ascii="Verdana" w:hAnsi="Verdana"/>
          <w:sz w:val="22"/>
          <w:szCs w:val="22"/>
          <w:lang w:val="en-IE"/>
        </w:rPr>
        <w:t>i.e.</w:t>
      </w:r>
      <w:proofErr w:type="gramEnd"/>
      <w:r w:rsidR="009E1DAB" w:rsidRPr="004E07A2">
        <w:rPr>
          <w:rFonts w:ascii="Verdana" w:hAnsi="Verdana"/>
          <w:sz w:val="22"/>
          <w:szCs w:val="22"/>
          <w:lang w:val="en-IE"/>
        </w:rPr>
        <w:t xml:space="preserve"> climate change that is already locked in by virtue of global emissions to date), and this will result in significant impacts which will require adaptation responses. Climate change will have diverse and </w:t>
      </w:r>
      <w:proofErr w:type="gramStart"/>
      <w:r w:rsidR="009E1DAB" w:rsidRPr="004E07A2">
        <w:rPr>
          <w:rFonts w:ascii="Verdana" w:hAnsi="Verdana"/>
          <w:sz w:val="22"/>
          <w:szCs w:val="22"/>
          <w:lang w:val="en-IE"/>
        </w:rPr>
        <w:t>wide ranging</w:t>
      </w:r>
      <w:proofErr w:type="gramEnd"/>
      <w:r w:rsidR="009E1DAB" w:rsidRPr="004E07A2">
        <w:rPr>
          <w:rFonts w:ascii="Verdana" w:hAnsi="Verdana"/>
          <w:sz w:val="22"/>
          <w:szCs w:val="22"/>
          <w:lang w:val="en-IE"/>
        </w:rPr>
        <w:t xml:space="preserve"> impacts on Ireland, including managed and natural ecosystems, water resources, agriculture and food security, human health, and coastal infrastructures and zones.</w:t>
      </w:r>
    </w:p>
    <w:p w14:paraId="5D7AACA8" w14:textId="77777777" w:rsidR="009E1DAB" w:rsidRPr="004E07A2" w:rsidRDefault="009E1DAB" w:rsidP="009E1DAB">
      <w:pPr>
        <w:spacing w:line="360" w:lineRule="auto"/>
        <w:jc w:val="both"/>
        <w:rPr>
          <w:rFonts w:ascii="Verdana" w:hAnsi="Verdana"/>
          <w:sz w:val="22"/>
          <w:szCs w:val="22"/>
          <w:lang w:val="en-IE"/>
        </w:rPr>
      </w:pPr>
    </w:p>
    <w:p w14:paraId="5D7AACA9" w14:textId="77777777" w:rsidR="009E1DAB" w:rsidRPr="004E07A2" w:rsidRDefault="009E1DAB" w:rsidP="009E1DAB">
      <w:pPr>
        <w:spacing w:line="360" w:lineRule="auto"/>
        <w:jc w:val="both"/>
        <w:rPr>
          <w:rFonts w:ascii="Verdana" w:hAnsi="Verdana"/>
          <w:sz w:val="22"/>
          <w:szCs w:val="22"/>
          <w:lang w:val="en-IE"/>
        </w:rPr>
      </w:pPr>
      <w:r w:rsidRPr="004E07A2">
        <w:rPr>
          <w:rFonts w:ascii="Verdana" w:hAnsi="Verdana"/>
          <w:sz w:val="22"/>
          <w:szCs w:val="22"/>
          <w:lang w:val="en-IE"/>
        </w:rPr>
        <w:t xml:space="preserve">The 2015 Act requires the National Adaptation Framework to set the strategy to reduce the vulnerability of the State to the negative effects of climate change and avail of any positive effects that may occur. The first statutory National Adaptation Framework was published in </w:t>
      </w:r>
      <w:r w:rsidR="00B417C3" w:rsidRPr="004E07A2">
        <w:rPr>
          <w:rFonts w:ascii="Verdana" w:hAnsi="Verdana"/>
          <w:sz w:val="22"/>
          <w:szCs w:val="22"/>
          <w:lang w:val="en-IE"/>
        </w:rPr>
        <w:t>early 2018</w:t>
      </w:r>
      <w:r w:rsidRPr="004E07A2">
        <w:rPr>
          <w:rFonts w:ascii="Verdana" w:hAnsi="Verdana"/>
          <w:sz w:val="22"/>
          <w:szCs w:val="22"/>
          <w:lang w:val="en-IE"/>
        </w:rPr>
        <w:t>.</w:t>
      </w:r>
    </w:p>
    <w:p w14:paraId="5D7AACAA" w14:textId="77777777" w:rsidR="00CD2677" w:rsidRPr="004E07A2" w:rsidRDefault="00CD2677" w:rsidP="009E1DAB">
      <w:pPr>
        <w:spacing w:line="360" w:lineRule="auto"/>
        <w:jc w:val="both"/>
        <w:rPr>
          <w:rFonts w:ascii="Verdana" w:hAnsi="Verdana"/>
          <w:sz w:val="22"/>
          <w:szCs w:val="22"/>
          <w:lang w:val="en-IE"/>
        </w:rPr>
      </w:pPr>
    </w:p>
    <w:p w14:paraId="5D7AACAB" w14:textId="77777777" w:rsidR="009E1DAB" w:rsidRPr="004E07A2" w:rsidRDefault="009E1DAB" w:rsidP="009E1DAB">
      <w:pPr>
        <w:spacing w:line="360" w:lineRule="auto"/>
        <w:jc w:val="both"/>
        <w:rPr>
          <w:rFonts w:ascii="Verdana" w:hAnsi="Verdana"/>
          <w:sz w:val="22"/>
          <w:szCs w:val="22"/>
          <w:lang w:val="en-IE"/>
        </w:rPr>
      </w:pPr>
      <w:r w:rsidRPr="004E07A2">
        <w:rPr>
          <w:rFonts w:ascii="Verdana" w:hAnsi="Verdana"/>
          <w:sz w:val="22"/>
          <w:szCs w:val="22"/>
          <w:lang w:val="en-IE"/>
        </w:rPr>
        <w:t>The National Adaptation Framework aims to:</w:t>
      </w:r>
    </w:p>
    <w:p w14:paraId="5D7AACAC" w14:textId="77777777" w:rsidR="009E1DAB" w:rsidRPr="004E07A2" w:rsidRDefault="009E1DAB" w:rsidP="00B417C3">
      <w:pPr>
        <w:spacing w:line="360" w:lineRule="auto"/>
        <w:ind w:left="720" w:hanging="720"/>
        <w:jc w:val="both"/>
        <w:rPr>
          <w:rFonts w:ascii="Verdana" w:hAnsi="Verdana"/>
          <w:sz w:val="22"/>
          <w:szCs w:val="22"/>
          <w:lang w:val="en-IE"/>
        </w:rPr>
      </w:pPr>
      <w:r w:rsidRPr="004E07A2">
        <w:rPr>
          <w:rFonts w:ascii="Verdana" w:hAnsi="Verdana"/>
          <w:sz w:val="22"/>
          <w:szCs w:val="22"/>
          <w:lang w:val="en-IE"/>
        </w:rPr>
        <w:t xml:space="preserve">• </w:t>
      </w:r>
      <w:r w:rsidR="00B417C3" w:rsidRPr="004E07A2">
        <w:rPr>
          <w:rFonts w:ascii="Verdana" w:hAnsi="Verdana"/>
          <w:sz w:val="22"/>
          <w:szCs w:val="22"/>
          <w:lang w:val="en-IE"/>
        </w:rPr>
        <w:tab/>
      </w:r>
      <w:r w:rsidRPr="004E07A2">
        <w:rPr>
          <w:rFonts w:ascii="Verdana" w:hAnsi="Verdana"/>
          <w:sz w:val="22"/>
          <w:szCs w:val="22"/>
          <w:lang w:val="en-IE"/>
        </w:rPr>
        <w:t xml:space="preserve">provide the policy context for a strategic adaptation response, at all levels, to climate </w:t>
      </w:r>
      <w:proofErr w:type="gramStart"/>
      <w:r w:rsidRPr="004E07A2">
        <w:rPr>
          <w:rFonts w:ascii="Verdana" w:hAnsi="Verdana"/>
          <w:sz w:val="22"/>
          <w:szCs w:val="22"/>
          <w:lang w:val="en-IE"/>
        </w:rPr>
        <w:t>change;</w:t>
      </w:r>
      <w:proofErr w:type="gramEnd"/>
    </w:p>
    <w:p w14:paraId="5D7AACAD" w14:textId="77777777" w:rsidR="009E1DAB" w:rsidRPr="004E07A2" w:rsidRDefault="009E1DAB" w:rsidP="009E1DAB">
      <w:pPr>
        <w:spacing w:line="360" w:lineRule="auto"/>
        <w:jc w:val="both"/>
        <w:rPr>
          <w:rFonts w:ascii="Verdana" w:hAnsi="Verdana"/>
          <w:sz w:val="22"/>
          <w:szCs w:val="22"/>
          <w:lang w:val="en-IE"/>
        </w:rPr>
      </w:pPr>
      <w:r w:rsidRPr="004E07A2">
        <w:rPr>
          <w:rFonts w:ascii="Verdana" w:hAnsi="Verdana"/>
          <w:sz w:val="22"/>
          <w:szCs w:val="22"/>
          <w:lang w:val="en-IE"/>
        </w:rPr>
        <w:t xml:space="preserve">• </w:t>
      </w:r>
      <w:r w:rsidR="00B417C3" w:rsidRPr="004E07A2">
        <w:rPr>
          <w:rFonts w:ascii="Verdana" w:hAnsi="Verdana"/>
          <w:sz w:val="22"/>
          <w:szCs w:val="22"/>
          <w:lang w:val="en-IE"/>
        </w:rPr>
        <w:tab/>
      </w:r>
      <w:r w:rsidRPr="004E07A2">
        <w:rPr>
          <w:rFonts w:ascii="Verdana" w:hAnsi="Verdana"/>
          <w:sz w:val="22"/>
          <w:szCs w:val="22"/>
          <w:lang w:val="en-IE"/>
        </w:rPr>
        <w:t xml:space="preserve">integrate adaptation considerations into all relevant policy </w:t>
      </w:r>
      <w:proofErr w:type="gramStart"/>
      <w:r w:rsidRPr="004E07A2">
        <w:rPr>
          <w:rFonts w:ascii="Verdana" w:hAnsi="Verdana"/>
          <w:sz w:val="22"/>
          <w:szCs w:val="22"/>
          <w:lang w:val="en-IE"/>
        </w:rPr>
        <w:t>areas;</w:t>
      </w:r>
      <w:proofErr w:type="gramEnd"/>
    </w:p>
    <w:p w14:paraId="5D7AACAE" w14:textId="77777777" w:rsidR="009E1DAB" w:rsidRPr="004E07A2" w:rsidRDefault="009E1DAB" w:rsidP="009E1DAB">
      <w:pPr>
        <w:spacing w:line="360" w:lineRule="auto"/>
        <w:jc w:val="both"/>
        <w:rPr>
          <w:rFonts w:ascii="Verdana" w:hAnsi="Verdana"/>
          <w:sz w:val="22"/>
          <w:szCs w:val="22"/>
          <w:lang w:val="en-IE"/>
        </w:rPr>
      </w:pPr>
      <w:r w:rsidRPr="004E07A2">
        <w:rPr>
          <w:rFonts w:ascii="Verdana" w:hAnsi="Verdana"/>
          <w:sz w:val="22"/>
          <w:szCs w:val="22"/>
          <w:lang w:val="en-IE"/>
        </w:rPr>
        <w:t>•</w:t>
      </w:r>
      <w:r w:rsidR="00B417C3" w:rsidRPr="004E07A2">
        <w:rPr>
          <w:rFonts w:ascii="Verdana" w:hAnsi="Verdana"/>
          <w:sz w:val="22"/>
          <w:szCs w:val="22"/>
          <w:lang w:val="en-IE"/>
        </w:rPr>
        <w:tab/>
      </w:r>
      <w:r w:rsidRPr="004E07A2">
        <w:rPr>
          <w:rFonts w:ascii="Verdana" w:hAnsi="Verdana"/>
          <w:sz w:val="22"/>
          <w:szCs w:val="22"/>
          <w:lang w:val="en-IE"/>
        </w:rPr>
        <w:t xml:space="preserve">promote dialogue and understanding of adaptation </w:t>
      </w:r>
      <w:proofErr w:type="gramStart"/>
      <w:r w:rsidRPr="004E07A2">
        <w:rPr>
          <w:rFonts w:ascii="Verdana" w:hAnsi="Verdana"/>
          <w:sz w:val="22"/>
          <w:szCs w:val="22"/>
          <w:lang w:val="en-IE"/>
        </w:rPr>
        <w:t>issues;</w:t>
      </w:r>
      <w:proofErr w:type="gramEnd"/>
    </w:p>
    <w:p w14:paraId="5D7AACAF" w14:textId="77777777" w:rsidR="009E1DAB" w:rsidRPr="004E07A2" w:rsidRDefault="009E1DAB" w:rsidP="00B417C3">
      <w:pPr>
        <w:spacing w:line="360" w:lineRule="auto"/>
        <w:ind w:left="720" w:hanging="720"/>
        <w:jc w:val="both"/>
        <w:rPr>
          <w:rFonts w:ascii="Verdana" w:hAnsi="Verdana"/>
          <w:sz w:val="22"/>
          <w:szCs w:val="22"/>
          <w:lang w:val="en-IE"/>
        </w:rPr>
      </w:pPr>
      <w:r w:rsidRPr="004E07A2">
        <w:rPr>
          <w:rFonts w:ascii="Verdana" w:hAnsi="Verdana"/>
          <w:sz w:val="22"/>
          <w:szCs w:val="22"/>
          <w:lang w:val="en-IE"/>
        </w:rPr>
        <w:t xml:space="preserve">• </w:t>
      </w:r>
      <w:r w:rsidR="00B417C3" w:rsidRPr="004E07A2">
        <w:rPr>
          <w:rFonts w:ascii="Verdana" w:hAnsi="Verdana"/>
          <w:sz w:val="22"/>
          <w:szCs w:val="22"/>
          <w:lang w:val="en-IE"/>
        </w:rPr>
        <w:tab/>
      </w:r>
      <w:r w:rsidRPr="004E07A2">
        <w:rPr>
          <w:rFonts w:ascii="Verdana" w:hAnsi="Verdana"/>
          <w:sz w:val="22"/>
          <w:szCs w:val="22"/>
          <w:lang w:val="en-IE"/>
        </w:rPr>
        <w:t xml:space="preserve">identify sectors for adaptation actions and lay out a </w:t>
      </w:r>
      <w:proofErr w:type="gramStart"/>
      <w:r w:rsidRPr="004E07A2">
        <w:rPr>
          <w:rFonts w:ascii="Verdana" w:hAnsi="Verdana"/>
          <w:sz w:val="22"/>
          <w:szCs w:val="22"/>
          <w:lang w:val="en-IE"/>
        </w:rPr>
        <w:t>high level</w:t>
      </w:r>
      <w:proofErr w:type="gramEnd"/>
      <w:r w:rsidRPr="004E07A2">
        <w:rPr>
          <w:rFonts w:ascii="Verdana" w:hAnsi="Verdana"/>
          <w:sz w:val="22"/>
          <w:szCs w:val="22"/>
          <w:lang w:val="en-IE"/>
        </w:rPr>
        <w:t xml:space="preserve"> vision for how these sectoral adaptation plans and local/regional adaptation strategies should be prepared and the principles that they should cover; and</w:t>
      </w:r>
    </w:p>
    <w:p w14:paraId="5D7AACB0" w14:textId="77777777" w:rsidR="009E1DAB" w:rsidRPr="004E07A2" w:rsidRDefault="009E1DAB" w:rsidP="00B417C3">
      <w:pPr>
        <w:spacing w:line="360" w:lineRule="auto"/>
        <w:ind w:left="720" w:hanging="720"/>
        <w:jc w:val="both"/>
        <w:rPr>
          <w:rFonts w:ascii="Verdana" w:hAnsi="Verdana"/>
          <w:sz w:val="22"/>
          <w:szCs w:val="22"/>
          <w:lang w:val="en-IE"/>
        </w:rPr>
      </w:pPr>
      <w:r w:rsidRPr="004E07A2">
        <w:rPr>
          <w:rFonts w:ascii="Verdana" w:hAnsi="Verdana"/>
          <w:sz w:val="22"/>
          <w:szCs w:val="22"/>
          <w:lang w:val="en-IE"/>
        </w:rPr>
        <w:lastRenderedPageBreak/>
        <w:t xml:space="preserve">• </w:t>
      </w:r>
      <w:r w:rsidR="00B417C3" w:rsidRPr="004E07A2">
        <w:rPr>
          <w:rFonts w:ascii="Verdana" w:hAnsi="Verdana"/>
          <w:sz w:val="22"/>
          <w:szCs w:val="22"/>
          <w:lang w:val="en-IE"/>
        </w:rPr>
        <w:tab/>
      </w:r>
      <w:r w:rsidRPr="004E07A2">
        <w:rPr>
          <w:rFonts w:ascii="Verdana" w:hAnsi="Verdana"/>
          <w:sz w:val="22"/>
          <w:szCs w:val="22"/>
          <w:lang w:val="en-IE"/>
        </w:rPr>
        <w:t>commit to actions to support and coordinate the adaptation process, including research and governance.</w:t>
      </w:r>
    </w:p>
    <w:p w14:paraId="5D7AACB1" w14:textId="77777777" w:rsidR="00B417C3" w:rsidRPr="004E07A2" w:rsidRDefault="00B417C3" w:rsidP="009E1DAB">
      <w:pPr>
        <w:spacing w:line="360" w:lineRule="auto"/>
        <w:jc w:val="both"/>
        <w:rPr>
          <w:rFonts w:ascii="Verdana" w:hAnsi="Verdana"/>
          <w:sz w:val="22"/>
          <w:szCs w:val="22"/>
          <w:lang w:val="en-IE"/>
        </w:rPr>
      </w:pPr>
    </w:p>
    <w:p w14:paraId="5D7AACB2" w14:textId="057A6553" w:rsidR="00871E71" w:rsidRPr="004E07A2" w:rsidRDefault="009E1DAB" w:rsidP="00BF3B40">
      <w:pPr>
        <w:spacing w:line="360" w:lineRule="auto"/>
        <w:jc w:val="both"/>
        <w:rPr>
          <w:rFonts w:ascii="Verdana" w:hAnsi="Verdana"/>
          <w:sz w:val="22"/>
          <w:szCs w:val="22"/>
          <w:lang w:val="en-IE"/>
        </w:rPr>
      </w:pPr>
      <w:r w:rsidRPr="004E07A2">
        <w:rPr>
          <w:rFonts w:ascii="Verdana" w:hAnsi="Verdana"/>
          <w:sz w:val="22"/>
          <w:szCs w:val="22"/>
          <w:lang w:val="en-IE"/>
        </w:rPr>
        <w:t xml:space="preserve">The National Adaptation Framework </w:t>
      </w:r>
      <w:r w:rsidR="00B417C3" w:rsidRPr="004E07A2">
        <w:rPr>
          <w:rFonts w:ascii="Verdana" w:hAnsi="Verdana"/>
          <w:sz w:val="22"/>
          <w:szCs w:val="22"/>
          <w:lang w:val="en-IE"/>
        </w:rPr>
        <w:t xml:space="preserve">can be found </w:t>
      </w:r>
      <w:hyperlink r:id="rId14" w:anchor="/" w:history="1">
        <w:r w:rsidR="00B417C3" w:rsidRPr="00907A32">
          <w:rPr>
            <w:rStyle w:val="Hyperlink"/>
            <w:rFonts w:ascii="Verdana" w:hAnsi="Verdana"/>
            <w:sz w:val="22"/>
            <w:szCs w:val="22"/>
            <w:lang w:val="en-IE"/>
          </w:rPr>
          <w:t>HERE</w:t>
        </w:r>
      </w:hyperlink>
      <w:r w:rsidR="00B417C3" w:rsidRPr="004E07A2">
        <w:rPr>
          <w:rFonts w:ascii="Verdana" w:hAnsi="Verdana"/>
          <w:sz w:val="22"/>
          <w:szCs w:val="22"/>
          <w:lang w:val="en-IE"/>
        </w:rPr>
        <w:t xml:space="preserve"> in IFI SharePoint.</w:t>
      </w:r>
    </w:p>
    <w:p w14:paraId="5D7AACB5" w14:textId="77777777" w:rsidR="00871E71" w:rsidRPr="004E07A2" w:rsidRDefault="00871E71" w:rsidP="00BF3B40">
      <w:pPr>
        <w:spacing w:line="360" w:lineRule="auto"/>
        <w:jc w:val="both"/>
        <w:rPr>
          <w:rFonts w:ascii="Verdana" w:hAnsi="Verdana"/>
          <w:sz w:val="22"/>
          <w:szCs w:val="22"/>
          <w:lang w:val="en-IE"/>
        </w:rPr>
      </w:pPr>
    </w:p>
    <w:p w14:paraId="5D7AACB6" w14:textId="77777777" w:rsidR="00BF3B40" w:rsidRPr="004E07A2" w:rsidRDefault="00CD2677" w:rsidP="00BF3B40">
      <w:pPr>
        <w:spacing w:line="360" w:lineRule="auto"/>
        <w:jc w:val="both"/>
        <w:rPr>
          <w:rFonts w:ascii="Verdana" w:hAnsi="Verdana"/>
          <w:sz w:val="24"/>
          <w:lang w:val="en-IE"/>
        </w:rPr>
      </w:pPr>
      <w:r w:rsidRPr="004E07A2">
        <w:rPr>
          <w:rFonts w:ascii="Verdana" w:hAnsi="Verdana"/>
          <w:sz w:val="24"/>
          <w:lang w:val="en-IE"/>
        </w:rPr>
        <w:t>1.4</w:t>
      </w:r>
      <w:r w:rsidR="008E7483" w:rsidRPr="004E07A2">
        <w:rPr>
          <w:rFonts w:ascii="Verdana" w:hAnsi="Verdana"/>
          <w:sz w:val="24"/>
          <w:lang w:val="en-IE"/>
        </w:rPr>
        <w:t xml:space="preserve"> </w:t>
      </w:r>
      <w:r w:rsidR="00BF3B40" w:rsidRPr="004E07A2">
        <w:rPr>
          <w:rFonts w:ascii="Verdana" w:hAnsi="Verdana"/>
          <w:sz w:val="24"/>
          <w:lang w:val="en-IE"/>
        </w:rPr>
        <w:t>Climate Change in Ireland: Projected</w:t>
      </w:r>
    </w:p>
    <w:p w14:paraId="5D7AACB7" w14:textId="77777777" w:rsidR="00871E71" w:rsidRPr="004E07A2" w:rsidRDefault="00871E71" w:rsidP="00BF3B40">
      <w:pPr>
        <w:spacing w:line="360" w:lineRule="auto"/>
        <w:jc w:val="both"/>
        <w:rPr>
          <w:rFonts w:ascii="Verdana" w:hAnsi="Verdana"/>
          <w:sz w:val="22"/>
          <w:szCs w:val="22"/>
          <w:lang w:val="en-IE"/>
        </w:rPr>
      </w:pPr>
    </w:p>
    <w:p w14:paraId="5D7AACB8" w14:textId="77777777" w:rsidR="00BF3B40" w:rsidRPr="004E07A2" w:rsidRDefault="00BF3B40" w:rsidP="00BF3B40">
      <w:pPr>
        <w:spacing w:line="360" w:lineRule="auto"/>
        <w:jc w:val="both"/>
        <w:rPr>
          <w:rFonts w:ascii="Verdana" w:hAnsi="Verdana"/>
          <w:sz w:val="22"/>
          <w:szCs w:val="22"/>
          <w:lang w:val="en-IE"/>
        </w:rPr>
      </w:pPr>
      <w:r w:rsidRPr="004E07A2">
        <w:rPr>
          <w:rFonts w:ascii="Verdana" w:hAnsi="Verdana"/>
          <w:sz w:val="22"/>
          <w:szCs w:val="22"/>
          <w:lang w:val="en-IE"/>
        </w:rPr>
        <w:t>Climate impacts – 2050 and beyond</w:t>
      </w:r>
    </w:p>
    <w:p w14:paraId="5D7AACB9" w14:textId="77777777" w:rsidR="00871E71" w:rsidRPr="004E07A2" w:rsidRDefault="00871E71" w:rsidP="00BF3B40">
      <w:pPr>
        <w:spacing w:line="360" w:lineRule="auto"/>
        <w:jc w:val="both"/>
        <w:rPr>
          <w:rFonts w:ascii="Verdana" w:hAnsi="Verdana"/>
          <w:sz w:val="22"/>
          <w:szCs w:val="22"/>
          <w:lang w:val="en-IE"/>
        </w:rPr>
      </w:pPr>
    </w:p>
    <w:p w14:paraId="5D7AACBA" w14:textId="77777777" w:rsidR="00BF3B40"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Temperature: mean annual temperatures wi</w:t>
      </w:r>
      <w:r w:rsidR="008E7483" w:rsidRPr="004E07A2">
        <w:rPr>
          <w:rFonts w:ascii="Verdana" w:hAnsi="Verdana"/>
        </w:rPr>
        <w:t xml:space="preserve">ll increase by 0.90-1.7°C, with </w:t>
      </w:r>
      <w:r w:rsidRPr="004E07A2">
        <w:rPr>
          <w:rFonts w:ascii="Verdana" w:hAnsi="Verdana"/>
        </w:rPr>
        <w:t>the largest</w:t>
      </w:r>
      <w:r w:rsidR="008E7483" w:rsidRPr="004E07A2">
        <w:rPr>
          <w:rFonts w:ascii="Verdana" w:hAnsi="Verdana"/>
        </w:rPr>
        <w:t xml:space="preserve"> </w:t>
      </w:r>
      <w:r w:rsidRPr="004E07A2">
        <w:rPr>
          <w:rFonts w:ascii="Verdana" w:hAnsi="Verdana"/>
        </w:rPr>
        <w:t>increases seen in the east of the country.</w:t>
      </w:r>
    </w:p>
    <w:p w14:paraId="5D7AACBB" w14:textId="77777777" w:rsidR="00BF3B40"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Hot days (defined as top 5% of maximum</w:t>
      </w:r>
      <w:r w:rsidR="008E7483" w:rsidRPr="004E07A2">
        <w:rPr>
          <w:rFonts w:ascii="Verdana" w:hAnsi="Verdana"/>
        </w:rPr>
        <w:t xml:space="preserve"> daily summer temperature) will </w:t>
      </w:r>
      <w:r w:rsidRPr="004E07A2">
        <w:rPr>
          <w:rFonts w:ascii="Verdana" w:hAnsi="Verdana"/>
        </w:rPr>
        <w:t>get warmer</w:t>
      </w:r>
      <w:r w:rsidR="008E7483" w:rsidRPr="004E07A2">
        <w:rPr>
          <w:rFonts w:ascii="Verdana" w:hAnsi="Verdana"/>
        </w:rPr>
        <w:t xml:space="preserve"> </w:t>
      </w:r>
      <w:r w:rsidRPr="004E07A2">
        <w:rPr>
          <w:rFonts w:ascii="Verdana" w:hAnsi="Verdana"/>
        </w:rPr>
        <w:t>by 0.7-2.6°C compared with the baseline period.</w:t>
      </w:r>
    </w:p>
    <w:p w14:paraId="5D7AACBC" w14:textId="77777777" w:rsidR="00BF3B40"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Cold nights (defined as bottom 5% of mi</w:t>
      </w:r>
      <w:r w:rsidR="008E7483" w:rsidRPr="004E07A2">
        <w:rPr>
          <w:rFonts w:ascii="Verdana" w:hAnsi="Verdana"/>
        </w:rPr>
        <w:t xml:space="preserve">nimum daily winter temperature) </w:t>
      </w:r>
      <w:r w:rsidRPr="004E07A2">
        <w:rPr>
          <w:rFonts w:ascii="Verdana" w:hAnsi="Verdana"/>
        </w:rPr>
        <w:t>will get warmer</w:t>
      </w:r>
      <w:r w:rsidR="008E7483" w:rsidRPr="004E07A2">
        <w:rPr>
          <w:rFonts w:ascii="Verdana" w:hAnsi="Verdana"/>
        </w:rPr>
        <w:t xml:space="preserve"> </w:t>
      </w:r>
      <w:r w:rsidRPr="004E07A2">
        <w:rPr>
          <w:rFonts w:ascii="Verdana" w:hAnsi="Verdana"/>
        </w:rPr>
        <w:t>by 1.1-3.1°C.</w:t>
      </w:r>
    </w:p>
    <w:p w14:paraId="5D7AACBD" w14:textId="77777777" w:rsidR="008E7483"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Frost days averaged over the whole co</w:t>
      </w:r>
      <w:r w:rsidR="008E7483" w:rsidRPr="004E07A2">
        <w:rPr>
          <w:rFonts w:ascii="Verdana" w:hAnsi="Verdana"/>
        </w:rPr>
        <w:t xml:space="preserve">untry, the number of frost days </w:t>
      </w:r>
      <w:r w:rsidRPr="004E07A2">
        <w:rPr>
          <w:rFonts w:ascii="Verdana" w:hAnsi="Verdana"/>
        </w:rPr>
        <w:t>(defined as a day</w:t>
      </w:r>
      <w:r w:rsidR="008E7483" w:rsidRPr="004E07A2">
        <w:rPr>
          <w:rFonts w:ascii="Verdana" w:hAnsi="Verdana"/>
        </w:rPr>
        <w:t xml:space="preserve"> </w:t>
      </w:r>
      <w:r w:rsidRPr="004E07A2">
        <w:rPr>
          <w:rFonts w:ascii="Verdana" w:hAnsi="Verdana"/>
        </w:rPr>
        <w:t>when the minimum t</w:t>
      </w:r>
      <w:r w:rsidR="008E7483" w:rsidRPr="004E07A2">
        <w:rPr>
          <w:rFonts w:ascii="Verdana" w:hAnsi="Verdana"/>
        </w:rPr>
        <w:t xml:space="preserve">emperature is less than 0°C) </w:t>
      </w:r>
      <w:proofErr w:type="gramStart"/>
      <w:r w:rsidR="008E7483" w:rsidRPr="004E07A2">
        <w:rPr>
          <w:rFonts w:ascii="Verdana" w:hAnsi="Verdana"/>
        </w:rPr>
        <w:t xml:space="preserve">is  </w:t>
      </w:r>
      <w:r w:rsidRPr="004E07A2">
        <w:rPr>
          <w:rFonts w:ascii="Verdana" w:hAnsi="Verdana"/>
        </w:rPr>
        <w:t>projected</w:t>
      </w:r>
      <w:proofErr w:type="gramEnd"/>
      <w:r w:rsidRPr="004E07A2">
        <w:rPr>
          <w:rFonts w:ascii="Verdana" w:hAnsi="Verdana"/>
        </w:rPr>
        <w:t xml:space="preserve"> to decrease by over 50%.</w:t>
      </w:r>
    </w:p>
    <w:p w14:paraId="5D7AACBE" w14:textId="77777777" w:rsidR="008E7483"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Growing season: the average length of the growing season18 will increase by over 35</w:t>
      </w:r>
      <w:r w:rsidR="008E7483" w:rsidRPr="004E07A2">
        <w:rPr>
          <w:rFonts w:ascii="Verdana" w:hAnsi="Verdana"/>
        </w:rPr>
        <w:t xml:space="preserve"> </w:t>
      </w:r>
      <w:r w:rsidRPr="004E07A2">
        <w:rPr>
          <w:rFonts w:ascii="Verdana" w:hAnsi="Verdana"/>
        </w:rPr>
        <w:t>days per year (Nolan, 2015).</w:t>
      </w:r>
    </w:p>
    <w:p w14:paraId="5D7AACBF" w14:textId="77777777" w:rsidR="00BF3B40"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 xml:space="preserve">Precipitation: results show significant projected decreases in mean </w:t>
      </w:r>
      <w:proofErr w:type="gramStart"/>
      <w:r w:rsidRPr="004E07A2">
        <w:rPr>
          <w:rFonts w:ascii="Verdana" w:hAnsi="Verdana"/>
        </w:rPr>
        <w:t>annual,</w:t>
      </w:r>
      <w:proofErr w:type="gramEnd"/>
      <w:r w:rsidRPr="004E07A2">
        <w:rPr>
          <w:rFonts w:ascii="Verdana" w:hAnsi="Verdana"/>
        </w:rPr>
        <w:t xml:space="preserve"> spring and</w:t>
      </w:r>
      <w:r w:rsidR="008E7483" w:rsidRPr="004E07A2">
        <w:rPr>
          <w:rFonts w:ascii="Verdana" w:hAnsi="Verdana"/>
        </w:rPr>
        <w:t xml:space="preserve"> </w:t>
      </w:r>
      <w:r w:rsidRPr="004E07A2">
        <w:rPr>
          <w:rFonts w:ascii="Verdana" w:hAnsi="Verdana"/>
        </w:rPr>
        <w:t>summer precipitation amounts by mid-century. The projected decreases are largest for</w:t>
      </w:r>
      <w:r w:rsidR="008E7483" w:rsidRPr="004E07A2">
        <w:rPr>
          <w:rFonts w:ascii="Verdana" w:hAnsi="Verdana"/>
        </w:rPr>
        <w:t xml:space="preserve"> </w:t>
      </w:r>
      <w:r w:rsidRPr="004E07A2">
        <w:rPr>
          <w:rFonts w:ascii="Verdana" w:hAnsi="Verdana"/>
        </w:rPr>
        <w:t>summer, with reductions ranging from 0% to 20%.</w:t>
      </w:r>
    </w:p>
    <w:p w14:paraId="5D7AACC0" w14:textId="77777777" w:rsidR="00BF3B40"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Heavy rainfall events will increase in winter and autumn (Nolan, 2015).</w:t>
      </w:r>
    </w:p>
    <w:p w14:paraId="5D7AACC1" w14:textId="77777777" w:rsidR="00BF3B40"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Wind and extreme events: the energy cont</w:t>
      </w:r>
      <w:r w:rsidR="008E7483" w:rsidRPr="004E07A2">
        <w:rPr>
          <w:rFonts w:ascii="Verdana" w:hAnsi="Verdana"/>
        </w:rPr>
        <w:t xml:space="preserve">ent of the wind is projected to </w:t>
      </w:r>
      <w:r w:rsidRPr="004E07A2">
        <w:rPr>
          <w:rFonts w:ascii="Verdana" w:hAnsi="Verdana"/>
        </w:rPr>
        <w:t>decrease</w:t>
      </w:r>
      <w:r w:rsidR="008E7483" w:rsidRPr="004E07A2">
        <w:rPr>
          <w:rFonts w:ascii="Verdana" w:hAnsi="Verdana"/>
        </w:rPr>
        <w:t xml:space="preserve"> </w:t>
      </w:r>
      <w:r w:rsidRPr="004E07A2">
        <w:rPr>
          <w:rFonts w:ascii="Verdana" w:hAnsi="Verdana"/>
        </w:rPr>
        <w:t xml:space="preserve">during spring, </w:t>
      </w:r>
      <w:proofErr w:type="gramStart"/>
      <w:r w:rsidRPr="004E07A2">
        <w:rPr>
          <w:rFonts w:ascii="Verdana" w:hAnsi="Verdana"/>
        </w:rPr>
        <w:t>summer</w:t>
      </w:r>
      <w:proofErr w:type="gramEnd"/>
      <w:r w:rsidRPr="004E07A2">
        <w:rPr>
          <w:rFonts w:ascii="Verdana" w:hAnsi="Verdana"/>
        </w:rPr>
        <w:t xml:space="preserve"> and autu</w:t>
      </w:r>
      <w:r w:rsidR="008E7483" w:rsidRPr="004E07A2">
        <w:rPr>
          <w:rFonts w:ascii="Verdana" w:hAnsi="Verdana"/>
        </w:rPr>
        <w:t xml:space="preserve">mn. The projected decreases are </w:t>
      </w:r>
      <w:r w:rsidRPr="004E07A2">
        <w:rPr>
          <w:rFonts w:ascii="Verdana" w:hAnsi="Verdana"/>
        </w:rPr>
        <w:t>largest for summer,</w:t>
      </w:r>
      <w:r w:rsidR="008E7483" w:rsidRPr="004E07A2">
        <w:rPr>
          <w:rFonts w:ascii="Verdana" w:hAnsi="Verdana"/>
        </w:rPr>
        <w:t xml:space="preserve"> </w:t>
      </w:r>
      <w:r w:rsidRPr="004E07A2">
        <w:rPr>
          <w:rFonts w:ascii="Verdana" w:hAnsi="Verdana"/>
        </w:rPr>
        <w:t>with values ranging from 3% to 15% (Nolan, 2015).</w:t>
      </w:r>
    </w:p>
    <w:p w14:paraId="5D7AACC2" w14:textId="77777777" w:rsidR="008E7483"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Storms affecting Ireland will decrease in frequency, but increase in intensity,</w:t>
      </w:r>
      <w:r w:rsidR="008E7483" w:rsidRPr="004E07A2">
        <w:rPr>
          <w:rFonts w:ascii="Verdana" w:hAnsi="Verdana"/>
        </w:rPr>
        <w:t xml:space="preserve"> </w:t>
      </w:r>
      <w:r w:rsidRPr="004E07A2">
        <w:rPr>
          <w:rFonts w:ascii="Verdana" w:hAnsi="Verdana"/>
        </w:rPr>
        <w:t>with increased risk of damage (Nolan, 2015).</w:t>
      </w:r>
    </w:p>
    <w:p w14:paraId="5D7AACC3" w14:textId="77777777" w:rsidR="008E7483"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Surface water (rivers and lakes) and</w:t>
      </w:r>
      <w:r w:rsidR="008E7483" w:rsidRPr="004E07A2">
        <w:rPr>
          <w:rFonts w:ascii="Verdana" w:hAnsi="Verdana"/>
        </w:rPr>
        <w:t xml:space="preserve"> runoff: Intensification of the</w:t>
      </w:r>
    </w:p>
    <w:p w14:paraId="5D7AACC4" w14:textId="77777777" w:rsidR="00BF3B40"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lastRenderedPageBreak/>
        <w:t>hydrological cycle, leading to</w:t>
      </w:r>
      <w:r w:rsidR="008E7483" w:rsidRPr="004E07A2">
        <w:rPr>
          <w:rFonts w:ascii="Verdana" w:hAnsi="Verdana"/>
        </w:rPr>
        <w:t xml:space="preserve"> </w:t>
      </w:r>
      <w:r w:rsidRPr="004E07A2">
        <w:rPr>
          <w:rFonts w:ascii="Verdana" w:hAnsi="Verdana"/>
        </w:rPr>
        <w:t xml:space="preserve">both increased incidences of high and low flow periods (Murphy, Harrigan, Hall &amp; </w:t>
      </w:r>
      <w:proofErr w:type="spellStart"/>
      <w:r w:rsidRPr="004E07A2">
        <w:rPr>
          <w:rFonts w:ascii="Verdana" w:hAnsi="Verdana"/>
        </w:rPr>
        <w:t>Wilby</w:t>
      </w:r>
      <w:proofErr w:type="spellEnd"/>
      <w:r w:rsidRPr="004E07A2">
        <w:rPr>
          <w:rFonts w:ascii="Verdana" w:hAnsi="Verdana"/>
        </w:rPr>
        <w:t>, 2013).</w:t>
      </w:r>
    </w:p>
    <w:p w14:paraId="5D7AACC5" w14:textId="77777777" w:rsidR="00BF3B40" w:rsidRPr="004E07A2" w:rsidRDefault="00BF3B40" w:rsidP="00871E71">
      <w:pPr>
        <w:pStyle w:val="ListParagraph"/>
        <w:numPr>
          <w:ilvl w:val="0"/>
          <w:numId w:val="33"/>
        </w:numPr>
        <w:spacing w:line="360" w:lineRule="auto"/>
        <w:jc w:val="both"/>
        <w:rPr>
          <w:rFonts w:ascii="Verdana" w:hAnsi="Verdana"/>
        </w:rPr>
      </w:pPr>
      <w:r w:rsidRPr="004E07A2">
        <w:rPr>
          <w:rFonts w:ascii="Verdana" w:hAnsi="Verdana"/>
        </w:rPr>
        <w:t>Sea level rise: rise of c.55-60cm to 2100</w:t>
      </w:r>
      <w:r w:rsidR="008E7483" w:rsidRPr="004E07A2">
        <w:rPr>
          <w:rFonts w:ascii="Verdana" w:hAnsi="Verdana"/>
        </w:rPr>
        <w:t xml:space="preserve"> (based on medium scale climate </w:t>
      </w:r>
      <w:r w:rsidRPr="004E07A2">
        <w:rPr>
          <w:rFonts w:ascii="Verdana" w:hAnsi="Verdana"/>
        </w:rPr>
        <w:t>warming</w:t>
      </w:r>
      <w:r w:rsidR="008E7483" w:rsidRPr="004E07A2">
        <w:rPr>
          <w:rFonts w:ascii="Verdana" w:hAnsi="Verdana"/>
        </w:rPr>
        <w:t xml:space="preserve"> </w:t>
      </w:r>
      <w:r w:rsidRPr="004E07A2">
        <w:rPr>
          <w:rFonts w:ascii="Verdana" w:hAnsi="Verdana"/>
        </w:rPr>
        <w:t>scenarios, viz. (Dunne et al., 2008; Lowe et al., 2009). Changes in mean sea level predicted</w:t>
      </w:r>
      <w:r w:rsidR="008E7483" w:rsidRPr="004E07A2">
        <w:rPr>
          <w:rFonts w:ascii="Verdana" w:hAnsi="Verdana"/>
        </w:rPr>
        <w:t xml:space="preserve"> </w:t>
      </w:r>
      <w:r w:rsidRPr="004E07A2">
        <w:rPr>
          <w:rFonts w:ascii="Verdana" w:hAnsi="Verdana"/>
        </w:rPr>
        <w:t>will be the primary driver in magnifying the impacts of changing storm surge and wave</w:t>
      </w:r>
      <w:r w:rsidR="008E7483" w:rsidRPr="004E07A2">
        <w:rPr>
          <w:rFonts w:ascii="Verdana" w:hAnsi="Verdana"/>
        </w:rPr>
        <w:t xml:space="preserve"> </w:t>
      </w:r>
      <w:r w:rsidRPr="004E07A2">
        <w:rPr>
          <w:rFonts w:ascii="Verdana" w:hAnsi="Verdana"/>
        </w:rPr>
        <w:t>patterns in coastal areas.</w:t>
      </w:r>
    </w:p>
    <w:p w14:paraId="5D7AACC6" w14:textId="77777777" w:rsidR="00B417C3" w:rsidRPr="004E07A2" w:rsidRDefault="00BF3B40" w:rsidP="009E1DAB">
      <w:pPr>
        <w:pStyle w:val="ListParagraph"/>
        <w:numPr>
          <w:ilvl w:val="0"/>
          <w:numId w:val="33"/>
        </w:numPr>
        <w:spacing w:line="360" w:lineRule="auto"/>
        <w:jc w:val="both"/>
        <w:rPr>
          <w:rFonts w:ascii="Verdana" w:hAnsi="Verdana"/>
        </w:rPr>
      </w:pPr>
      <w:r w:rsidRPr="004E07A2">
        <w:rPr>
          <w:rFonts w:ascii="Verdana" w:hAnsi="Verdana"/>
        </w:rPr>
        <w:t xml:space="preserve">Regional sea level rise, </w:t>
      </w:r>
      <w:r w:rsidR="00871E71" w:rsidRPr="004E07A2">
        <w:rPr>
          <w:rFonts w:ascii="Verdana" w:hAnsi="Verdana"/>
        </w:rPr>
        <w:t>(</w:t>
      </w:r>
      <w:r w:rsidRPr="004E07A2">
        <w:rPr>
          <w:rFonts w:ascii="Verdana" w:hAnsi="Verdana"/>
        </w:rPr>
        <w:t>all</w:t>
      </w:r>
      <w:r w:rsidR="00871E71" w:rsidRPr="004E07A2">
        <w:rPr>
          <w:rFonts w:ascii="Verdana" w:hAnsi="Verdana"/>
        </w:rPr>
        <w:t>owing for isostatic components)</w:t>
      </w:r>
      <w:r w:rsidRPr="004E07A2">
        <w:rPr>
          <w:rFonts w:ascii="Verdana" w:hAnsi="Verdana"/>
        </w:rPr>
        <w:t>, of c.25cm (Dublin/east</w:t>
      </w:r>
      <w:r w:rsidR="008E7483" w:rsidRPr="004E07A2">
        <w:rPr>
          <w:rFonts w:ascii="Verdana" w:hAnsi="Verdana"/>
        </w:rPr>
        <w:t xml:space="preserve"> </w:t>
      </w:r>
      <w:r w:rsidRPr="004E07A2">
        <w:rPr>
          <w:rFonts w:ascii="Verdana" w:hAnsi="Verdana"/>
        </w:rPr>
        <w:t xml:space="preserve">coast Ireland), c.44cm Sligo/central western coasts, c.40cm </w:t>
      </w:r>
      <w:proofErr w:type="gramStart"/>
      <w:r w:rsidRPr="004E07A2">
        <w:rPr>
          <w:rFonts w:ascii="Verdana" w:hAnsi="Verdana"/>
        </w:rPr>
        <w:t>south west</w:t>
      </w:r>
      <w:proofErr w:type="gramEnd"/>
      <w:r w:rsidRPr="004E07A2">
        <w:rPr>
          <w:rFonts w:ascii="Verdana" w:hAnsi="Verdana"/>
        </w:rPr>
        <w:t xml:space="preserve"> Ireland by c.2080-</w:t>
      </w:r>
      <w:r w:rsidR="00871E71" w:rsidRPr="004E07A2">
        <w:rPr>
          <w:rFonts w:ascii="Verdana" w:hAnsi="Verdana"/>
        </w:rPr>
        <w:t>2100 (Devoy, 2008)</w:t>
      </w:r>
    </w:p>
    <w:p w14:paraId="5D7AACC7" w14:textId="77777777" w:rsidR="00871E71" w:rsidRPr="004E07A2" w:rsidRDefault="00871E71" w:rsidP="00871E71">
      <w:pPr>
        <w:spacing w:line="360" w:lineRule="auto"/>
        <w:jc w:val="both"/>
        <w:rPr>
          <w:rFonts w:ascii="Verdana" w:hAnsi="Verdana"/>
          <w:sz w:val="22"/>
          <w:szCs w:val="22"/>
          <w:lang w:val="en-IE"/>
        </w:rPr>
      </w:pPr>
      <w:r w:rsidRPr="004E07A2">
        <w:rPr>
          <w:rFonts w:ascii="Verdana" w:hAnsi="Verdana"/>
          <w:sz w:val="22"/>
          <w:szCs w:val="22"/>
          <w:lang w:val="en-IE"/>
        </w:rPr>
        <w:t>The above observations confirm that Ireland’s climate is changing in terms of sea level rise, increases in average temperature, changes in precipitation patterns, and weather extremes. These changes are projected to continue and increase over the coming decades (Gleeson et al, 2013; Nolan, 2015) and projected changes include: temperature rise, changes in the frequency</w:t>
      </w:r>
    </w:p>
    <w:p w14:paraId="5D7AACC8" w14:textId="77777777" w:rsidR="00871E71" w:rsidRPr="004E07A2" w:rsidRDefault="00871E71" w:rsidP="00871E71">
      <w:pPr>
        <w:spacing w:line="360" w:lineRule="auto"/>
        <w:jc w:val="both"/>
        <w:rPr>
          <w:rFonts w:ascii="Verdana" w:hAnsi="Verdana"/>
          <w:sz w:val="22"/>
          <w:szCs w:val="22"/>
          <w:lang w:val="en-IE"/>
        </w:rPr>
      </w:pPr>
      <w:r w:rsidRPr="004E07A2">
        <w:rPr>
          <w:rFonts w:ascii="Verdana" w:hAnsi="Verdana"/>
          <w:sz w:val="22"/>
          <w:szCs w:val="22"/>
          <w:lang w:val="en-IE"/>
        </w:rPr>
        <w:t xml:space="preserve">and intensity of extreme weather events; increased flows to river catchments; ongoing sea level rise; and changes in precipitation patterns and regimes. These changes, in turn, will impact on </w:t>
      </w:r>
      <w:proofErr w:type="gramStart"/>
      <w:r w:rsidRPr="004E07A2">
        <w:rPr>
          <w:rFonts w:ascii="Verdana" w:hAnsi="Verdana"/>
          <w:sz w:val="22"/>
          <w:szCs w:val="22"/>
          <w:lang w:val="en-IE"/>
        </w:rPr>
        <w:t>a number of</w:t>
      </w:r>
      <w:proofErr w:type="gramEnd"/>
      <w:r w:rsidRPr="004E07A2">
        <w:rPr>
          <w:rFonts w:ascii="Verdana" w:hAnsi="Verdana"/>
          <w:sz w:val="22"/>
          <w:szCs w:val="22"/>
          <w:lang w:val="en-IE"/>
        </w:rPr>
        <w:t xml:space="preserve"> key socio, economic and environmental sectors in different ways which will require appropriate and relevant sectoral responses within the context of this Framework. Examples of such impacts are provided in National Adaptation Framework - Page 29, Box 1. Of </w:t>
      </w:r>
      <w:proofErr w:type="gramStart"/>
      <w:r w:rsidRPr="004E07A2">
        <w:rPr>
          <w:rFonts w:ascii="Verdana" w:hAnsi="Verdana"/>
          <w:sz w:val="22"/>
          <w:szCs w:val="22"/>
          <w:lang w:val="en-IE"/>
        </w:rPr>
        <w:t>particular relevan</w:t>
      </w:r>
      <w:r w:rsidR="004E07A2" w:rsidRPr="004E07A2">
        <w:rPr>
          <w:rFonts w:ascii="Verdana" w:hAnsi="Verdana"/>
          <w:sz w:val="22"/>
          <w:szCs w:val="22"/>
          <w:lang w:val="en-IE"/>
        </w:rPr>
        <w:t>ce</w:t>
      </w:r>
      <w:proofErr w:type="gramEnd"/>
      <w:r w:rsidRPr="004E07A2">
        <w:rPr>
          <w:rFonts w:ascii="Verdana" w:hAnsi="Verdana"/>
          <w:sz w:val="22"/>
          <w:szCs w:val="22"/>
          <w:lang w:val="en-IE"/>
        </w:rPr>
        <w:t xml:space="preserve"> are </w:t>
      </w:r>
      <w:r w:rsidR="004E07A2" w:rsidRPr="004E07A2">
        <w:rPr>
          <w:rFonts w:ascii="Verdana" w:hAnsi="Verdana"/>
          <w:sz w:val="22"/>
          <w:szCs w:val="22"/>
          <w:lang w:val="en-IE"/>
        </w:rPr>
        <w:t>n</w:t>
      </w:r>
      <w:r w:rsidRPr="004E07A2">
        <w:rPr>
          <w:rFonts w:ascii="Verdana" w:hAnsi="Verdana"/>
          <w:sz w:val="22"/>
          <w:szCs w:val="22"/>
          <w:lang w:val="en-IE"/>
        </w:rPr>
        <w:t>egative sectoral impacts sum</w:t>
      </w:r>
      <w:r w:rsidR="004E07A2" w:rsidRPr="004E07A2">
        <w:rPr>
          <w:rFonts w:ascii="Verdana" w:hAnsi="Verdana"/>
          <w:sz w:val="22"/>
          <w:szCs w:val="22"/>
          <w:lang w:val="en-IE"/>
        </w:rPr>
        <w:t>m</w:t>
      </w:r>
      <w:r w:rsidRPr="004E07A2">
        <w:rPr>
          <w:rFonts w:ascii="Verdana" w:hAnsi="Verdana"/>
          <w:sz w:val="22"/>
          <w:szCs w:val="22"/>
          <w:lang w:val="en-IE"/>
        </w:rPr>
        <w:t>arised for Biodiversity, Marine and Fisheries and Water Management as follows:</w:t>
      </w:r>
    </w:p>
    <w:p w14:paraId="5D7AACC9" w14:textId="77777777" w:rsidR="00871E71" w:rsidRPr="004E07A2" w:rsidRDefault="00871E71" w:rsidP="00871E71">
      <w:pPr>
        <w:spacing w:line="360" w:lineRule="auto"/>
        <w:jc w:val="both"/>
        <w:rPr>
          <w:rFonts w:ascii="Verdana" w:hAnsi="Verdana"/>
          <w:sz w:val="22"/>
          <w:szCs w:val="22"/>
          <w:lang w:val="en-IE"/>
        </w:rPr>
      </w:pPr>
    </w:p>
    <w:p w14:paraId="5D7AACCA" w14:textId="77777777" w:rsidR="00B417C3" w:rsidRPr="004E07A2" w:rsidRDefault="00871E71" w:rsidP="00310EA7">
      <w:pPr>
        <w:spacing w:line="360" w:lineRule="auto"/>
        <w:jc w:val="both"/>
        <w:rPr>
          <w:rFonts w:ascii="Verdana" w:hAnsi="Verdana"/>
          <w:sz w:val="22"/>
          <w:szCs w:val="22"/>
          <w:lang w:val="en-IE"/>
        </w:rPr>
      </w:pPr>
      <w:r w:rsidRPr="004E07A2">
        <w:rPr>
          <w:rFonts w:ascii="Verdana" w:hAnsi="Verdana"/>
          <w:b/>
          <w:sz w:val="22"/>
          <w:szCs w:val="22"/>
          <w:lang w:val="en-IE"/>
        </w:rPr>
        <w:t>Biodiversity:</w:t>
      </w:r>
      <w:r w:rsidRPr="004E07A2">
        <w:rPr>
          <w:rFonts w:ascii="Verdana" w:hAnsi="Verdana"/>
          <w:sz w:val="22"/>
          <w:szCs w:val="22"/>
          <w:lang w:val="en-IE"/>
        </w:rPr>
        <w:t xml:space="preserve"> Ireland’s natural landscape is one of its greatest assets and climate change is expected to have significant impacts and exacerbate existing pressures. Increasing temperatures will impact on the geographical range and phenology (the timing of lifecycle events) of native species. Projected shifts in climate, </w:t>
      </w:r>
      <w:proofErr w:type="gramStart"/>
      <w:r w:rsidRPr="004E07A2">
        <w:rPr>
          <w:rFonts w:ascii="Verdana" w:hAnsi="Verdana"/>
          <w:sz w:val="22"/>
          <w:szCs w:val="22"/>
          <w:lang w:val="en-IE"/>
        </w:rPr>
        <w:t>temperature</w:t>
      </w:r>
      <w:proofErr w:type="gramEnd"/>
      <w:r w:rsidRPr="004E07A2">
        <w:rPr>
          <w:rFonts w:ascii="Verdana" w:hAnsi="Verdana"/>
          <w:sz w:val="22"/>
          <w:szCs w:val="22"/>
          <w:lang w:val="en-IE"/>
        </w:rPr>
        <w:t xml:space="preserve"> and precipitation, may result in the increased occurrence of invasive species and competitive pressures for Ireland’s native species. </w:t>
      </w:r>
    </w:p>
    <w:p w14:paraId="5D7AACCB" w14:textId="77777777" w:rsidR="00871E71" w:rsidRPr="004E07A2" w:rsidRDefault="00871E71" w:rsidP="00871E71">
      <w:pPr>
        <w:spacing w:line="360" w:lineRule="auto"/>
        <w:jc w:val="both"/>
        <w:rPr>
          <w:rFonts w:ascii="Verdana" w:hAnsi="Verdana"/>
          <w:sz w:val="22"/>
          <w:szCs w:val="22"/>
          <w:lang w:val="en-IE"/>
        </w:rPr>
      </w:pPr>
    </w:p>
    <w:p w14:paraId="5D7AACCC" w14:textId="77777777" w:rsidR="00871E71" w:rsidRPr="004E07A2" w:rsidRDefault="00871E71" w:rsidP="00871E71">
      <w:pPr>
        <w:spacing w:line="360" w:lineRule="auto"/>
        <w:jc w:val="both"/>
        <w:rPr>
          <w:rFonts w:ascii="Verdana" w:hAnsi="Verdana"/>
          <w:sz w:val="22"/>
          <w:szCs w:val="22"/>
          <w:lang w:val="en-IE"/>
        </w:rPr>
      </w:pPr>
      <w:r w:rsidRPr="004E07A2">
        <w:rPr>
          <w:rFonts w:ascii="Verdana" w:hAnsi="Verdana"/>
          <w:b/>
          <w:sz w:val="22"/>
          <w:szCs w:val="22"/>
          <w:lang w:val="en-IE"/>
        </w:rPr>
        <w:lastRenderedPageBreak/>
        <w:t>Marine and fisheries:</w:t>
      </w:r>
      <w:r w:rsidRPr="004E07A2">
        <w:rPr>
          <w:rFonts w:ascii="Verdana" w:hAnsi="Verdana"/>
          <w:sz w:val="22"/>
          <w:szCs w:val="22"/>
          <w:lang w:val="en-IE"/>
        </w:rPr>
        <w:t xml:space="preserve"> Projected changes in sea level, coastal flooding and erosion, and physicochemical changes in the marine environment will have wide-ranging implications for the Marine and Fisheries sector. For example, increased sea surface temperatures will affect the biogeographical ranges of species distribution including major commercial fish stocks. There will likely be a reduction in the range of some northerly species, while southerly species are likely to increase their range northward. Warmer waters support</w:t>
      </w:r>
    </w:p>
    <w:p w14:paraId="5D7AACCD" w14:textId="77777777" w:rsidR="00871E71" w:rsidRPr="004E07A2" w:rsidRDefault="00871E71" w:rsidP="00871E71">
      <w:pPr>
        <w:spacing w:line="360" w:lineRule="auto"/>
        <w:jc w:val="both"/>
        <w:rPr>
          <w:rFonts w:ascii="Verdana" w:hAnsi="Verdana"/>
          <w:sz w:val="22"/>
          <w:szCs w:val="22"/>
          <w:lang w:val="en-IE"/>
        </w:rPr>
      </w:pPr>
      <w:r w:rsidRPr="004E07A2">
        <w:rPr>
          <w:rFonts w:ascii="Verdana" w:hAnsi="Verdana"/>
          <w:sz w:val="22"/>
          <w:szCs w:val="22"/>
          <w:lang w:val="en-IE"/>
        </w:rPr>
        <w:t>lower levels of dissolved oxygen and provide favourable conditions for the growth of algal blooms.</w:t>
      </w:r>
    </w:p>
    <w:p w14:paraId="5D7AACCE" w14:textId="77777777" w:rsidR="00871E71" w:rsidRPr="004E07A2" w:rsidRDefault="00871E71" w:rsidP="00871E71">
      <w:pPr>
        <w:spacing w:line="360" w:lineRule="auto"/>
        <w:jc w:val="both"/>
        <w:rPr>
          <w:rFonts w:ascii="Verdana" w:hAnsi="Verdana"/>
          <w:sz w:val="22"/>
          <w:szCs w:val="22"/>
          <w:lang w:val="en-IE"/>
        </w:rPr>
      </w:pPr>
    </w:p>
    <w:p w14:paraId="5D7AACCF" w14:textId="77777777" w:rsidR="00871E71" w:rsidRPr="004E07A2" w:rsidRDefault="00871E71" w:rsidP="00871E71">
      <w:pPr>
        <w:spacing w:line="360" w:lineRule="auto"/>
        <w:jc w:val="both"/>
        <w:rPr>
          <w:rFonts w:ascii="Verdana" w:hAnsi="Verdana"/>
          <w:sz w:val="22"/>
          <w:szCs w:val="22"/>
          <w:lang w:val="en-IE"/>
        </w:rPr>
      </w:pPr>
      <w:r w:rsidRPr="004E07A2">
        <w:rPr>
          <w:rFonts w:ascii="Verdana" w:hAnsi="Verdana"/>
          <w:b/>
          <w:sz w:val="22"/>
          <w:szCs w:val="22"/>
          <w:lang w:val="en-IE"/>
        </w:rPr>
        <w:t>Water management:</w:t>
      </w:r>
      <w:r w:rsidRPr="004E07A2">
        <w:rPr>
          <w:rFonts w:ascii="Verdana" w:hAnsi="Verdana"/>
          <w:sz w:val="22"/>
          <w:szCs w:val="22"/>
          <w:lang w:val="en-IE"/>
        </w:rPr>
        <w:t xml:space="preserve"> Climate change will pose significant risks to water management and will exacerbate existing pressures in terms of water supply, </w:t>
      </w:r>
      <w:proofErr w:type="gramStart"/>
      <w:r w:rsidRPr="004E07A2">
        <w:rPr>
          <w:rFonts w:ascii="Verdana" w:hAnsi="Verdana"/>
          <w:sz w:val="22"/>
          <w:szCs w:val="22"/>
          <w:lang w:val="en-IE"/>
        </w:rPr>
        <w:t>quality</w:t>
      </w:r>
      <w:proofErr w:type="gramEnd"/>
      <w:r w:rsidRPr="004E07A2">
        <w:rPr>
          <w:rFonts w:ascii="Verdana" w:hAnsi="Verdana"/>
          <w:sz w:val="22"/>
          <w:szCs w:val="22"/>
          <w:lang w:val="en-IE"/>
        </w:rPr>
        <w:t xml:space="preserve"> and flooding. For summer and autumn, projected decreases in surface water flows and increased levels of evapotranspiration will mean a decrease in levels of available water resources and this may lead to problems of water supply.</w:t>
      </w:r>
    </w:p>
    <w:p w14:paraId="5D7AACD0" w14:textId="77777777" w:rsidR="00080337" w:rsidRPr="004E07A2" w:rsidRDefault="00080337" w:rsidP="00080337">
      <w:pPr>
        <w:pStyle w:val="DeeStyle1"/>
        <w:spacing w:line="276" w:lineRule="auto"/>
        <w:rPr>
          <w:b w:val="0"/>
          <w:color w:val="17365D"/>
          <w:szCs w:val="20"/>
          <w:lang w:val="en-IE"/>
        </w:rPr>
      </w:pPr>
    </w:p>
    <w:p w14:paraId="5D7AACD1" w14:textId="77777777" w:rsidR="00871E71" w:rsidRPr="004E07A2" w:rsidRDefault="00871E71" w:rsidP="00080337">
      <w:pPr>
        <w:pStyle w:val="DeeStyle1"/>
        <w:spacing w:line="276" w:lineRule="auto"/>
        <w:rPr>
          <w:b w:val="0"/>
          <w:color w:val="17365D"/>
          <w:szCs w:val="20"/>
          <w:lang w:val="en-IE"/>
        </w:rPr>
      </w:pPr>
    </w:p>
    <w:p w14:paraId="5D7AACD2" w14:textId="77777777" w:rsidR="00871E71" w:rsidRPr="004E07A2" w:rsidRDefault="00871E71" w:rsidP="00080337">
      <w:pPr>
        <w:pStyle w:val="DeeStyle1"/>
        <w:spacing w:line="276" w:lineRule="auto"/>
        <w:rPr>
          <w:b w:val="0"/>
          <w:color w:val="17365D"/>
          <w:szCs w:val="20"/>
          <w:lang w:val="en-IE"/>
        </w:rPr>
      </w:pPr>
    </w:p>
    <w:p w14:paraId="5D7AACD8" w14:textId="65075D88" w:rsidR="004E07A2" w:rsidRPr="004E07A2" w:rsidRDefault="00D51F9D" w:rsidP="00080337">
      <w:pPr>
        <w:pStyle w:val="DeeStyle1"/>
        <w:spacing w:line="276" w:lineRule="auto"/>
        <w:rPr>
          <w:b w:val="0"/>
          <w:color w:val="17365D"/>
          <w:szCs w:val="20"/>
          <w:lang w:val="en-IE"/>
        </w:rPr>
      </w:pPr>
      <w:r>
        <w:rPr>
          <w:noProof/>
          <w:lang w:val="en-IE" w:eastAsia="en-IE"/>
        </w:rPr>
        <w:drawing>
          <wp:inline distT="0" distB="0" distL="0" distR="0" wp14:anchorId="5D7AAD73" wp14:editId="5D7AAD74">
            <wp:extent cx="5486400" cy="362829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3628292"/>
                    </a:xfrm>
                    <a:prstGeom prst="rect">
                      <a:avLst/>
                    </a:prstGeom>
                  </pic:spPr>
                </pic:pic>
              </a:graphicData>
            </a:graphic>
          </wp:inline>
        </w:drawing>
      </w:r>
    </w:p>
    <w:p w14:paraId="5D7AACD9" w14:textId="77777777" w:rsidR="00902837" w:rsidRPr="004E07A2" w:rsidRDefault="00F50AA8" w:rsidP="00902837">
      <w:pPr>
        <w:pStyle w:val="Heading1"/>
        <w:numPr>
          <w:ilvl w:val="0"/>
          <w:numId w:val="32"/>
        </w:numPr>
        <w:rPr>
          <w:rFonts w:ascii="Verdana" w:hAnsi="Verdana"/>
          <w:color w:val="17365D"/>
          <w:sz w:val="28"/>
          <w:szCs w:val="28"/>
          <w:lang w:val="en-IE"/>
        </w:rPr>
      </w:pPr>
      <w:r w:rsidRPr="004E07A2">
        <w:rPr>
          <w:rFonts w:ascii="Verdana" w:hAnsi="Verdana"/>
          <w:color w:val="17365D"/>
          <w:sz w:val="28"/>
          <w:szCs w:val="28"/>
          <w:lang w:val="en-IE"/>
        </w:rPr>
        <w:lastRenderedPageBreak/>
        <w:t xml:space="preserve">Strategic Framework for Climate Action </w:t>
      </w:r>
      <w:r w:rsidR="003A2B3B" w:rsidRPr="004E07A2">
        <w:rPr>
          <w:rFonts w:ascii="Verdana" w:hAnsi="Verdana"/>
          <w:color w:val="17365D"/>
          <w:sz w:val="28"/>
          <w:szCs w:val="28"/>
          <w:lang w:val="en-IE"/>
        </w:rPr>
        <w:t>-</w:t>
      </w:r>
      <w:r w:rsidRPr="004E07A2">
        <w:rPr>
          <w:rFonts w:ascii="Verdana" w:hAnsi="Verdana"/>
          <w:color w:val="17365D"/>
          <w:sz w:val="28"/>
          <w:szCs w:val="28"/>
          <w:lang w:val="en-IE"/>
        </w:rPr>
        <w:t xml:space="preserve"> </w:t>
      </w:r>
      <w:r w:rsidR="00902837" w:rsidRPr="004E07A2">
        <w:rPr>
          <w:rFonts w:ascii="Verdana" w:hAnsi="Verdana"/>
          <w:color w:val="17365D"/>
          <w:sz w:val="28"/>
          <w:szCs w:val="28"/>
          <w:lang w:val="en-IE"/>
        </w:rPr>
        <w:t>IFI Business Plan 2018</w:t>
      </w:r>
    </w:p>
    <w:p w14:paraId="5D7AACDA" w14:textId="77777777" w:rsidR="00871E71" w:rsidRPr="004E07A2" w:rsidRDefault="00871E71" w:rsidP="00080337">
      <w:pPr>
        <w:pStyle w:val="DeeStyle1"/>
        <w:spacing w:line="276" w:lineRule="auto"/>
        <w:rPr>
          <w:color w:val="17365D"/>
          <w:szCs w:val="20"/>
          <w:lang w:val="en-IE"/>
        </w:rPr>
      </w:pPr>
    </w:p>
    <w:p w14:paraId="5D7AACDB" w14:textId="77777777" w:rsidR="003B1C8B" w:rsidRPr="003B1C8B" w:rsidRDefault="003B1C8B" w:rsidP="003B1C8B">
      <w:pPr>
        <w:pStyle w:val="DeeStyle1"/>
        <w:numPr>
          <w:ilvl w:val="1"/>
          <w:numId w:val="32"/>
        </w:numPr>
        <w:rPr>
          <w:b w:val="0"/>
          <w:color w:val="auto"/>
          <w:sz w:val="24"/>
          <w:lang w:val="en-IE"/>
        </w:rPr>
      </w:pPr>
      <w:r w:rsidRPr="003B1C8B">
        <w:rPr>
          <w:b w:val="0"/>
          <w:color w:val="auto"/>
          <w:sz w:val="24"/>
          <w:lang w:val="en-IE"/>
        </w:rPr>
        <w:t>Leadership and Ambition</w:t>
      </w:r>
    </w:p>
    <w:p w14:paraId="5D7AACDC" w14:textId="77777777" w:rsidR="00F50AA8" w:rsidRPr="004E07A2" w:rsidRDefault="00F50AA8" w:rsidP="003B1C8B">
      <w:pPr>
        <w:pStyle w:val="DeeStyle1"/>
        <w:rPr>
          <w:b w:val="0"/>
          <w:color w:val="auto"/>
          <w:sz w:val="22"/>
          <w:szCs w:val="22"/>
          <w:lang w:val="en-IE"/>
        </w:rPr>
      </w:pPr>
      <w:r w:rsidRPr="004E07A2">
        <w:rPr>
          <w:b w:val="0"/>
          <w:color w:val="auto"/>
          <w:sz w:val="22"/>
          <w:szCs w:val="22"/>
          <w:lang w:val="en-IE"/>
        </w:rPr>
        <w:t xml:space="preserve">As outlined in the </w:t>
      </w:r>
      <w:r w:rsidRPr="004E07A2">
        <w:rPr>
          <w:b w:val="0"/>
          <w:i/>
          <w:color w:val="auto"/>
          <w:sz w:val="22"/>
          <w:szCs w:val="22"/>
          <w:lang w:val="en-IE"/>
        </w:rPr>
        <w:t xml:space="preserve">Strategic Framework for Public Sector Energy Efficiency </w:t>
      </w:r>
      <w:r w:rsidRPr="004E07A2">
        <w:rPr>
          <w:b w:val="0"/>
          <w:color w:val="auto"/>
          <w:sz w:val="22"/>
          <w:szCs w:val="22"/>
          <w:lang w:val="en-IE"/>
        </w:rPr>
        <w:t>(DCCAE, 2017), the public sector can and should take a leadership role in embedding energy efficient technologies and behaviours in Ireland, developing the energy efficiency supply chain and creating opportunities for indigenous enterprise and innovation. Achieving the transition to a low carbon economy requires that we all use energy more carefully. There is a very real expectation among business and local communities that citizens should be able to look to their public organisations for leadership in this transition</w:t>
      </w:r>
      <w:proofErr w:type="gramStart"/>
      <w:r w:rsidRPr="004E07A2">
        <w:rPr>
          <w:b w:val="0"/>
          <w:color w:val="auto"/>
          <w:sz w:val="22"/>
          <w:szCs w:val="22"/>
          <w:lang w:val="en-IE"/>
        </w:rPr>
        <w:t>, in particular, on</w:t>
      </w:r>
      <w:proofErr w:type="gramEnd"/>
      <w:r w:rsidRPr="004E07A2">
        <w:rPr>
          <w:b w:val="0"/>
          <w:color w:val="auto"/>
          <w:sz w:val="22"/>
          <w:szCs w:val="22"/>
          <w:lang w:val="en-IE"/>
        </w:rPr>
        <w:t xml:space="preserve"> energy efficiency. The importance of public sector energy efficiency to wider public sector reform, and citizen engagement in the low carbon transition, has shaped the objectives of the strategy as follows:</w:t>
      </w:r>
    </w:p>
    <w:p w14:paraId="5D7AACDD" w14:textId="77777777" w:rsidR="00F50AA8" w:rsidRPr="004E07A2" w:rsidRDefault="00F50AA8" w:rsidP="00F50AA8">
      <w:pPr>
        <w:pStyle w:val="DeeStyle1"/>
        <w:rPr>
          <w:b w:val="0"/>
          <w:color w:val="auto"/>
          <w:sz w:val="22"/>
          <w:szCs w:val="22"/>
          <w:lang w:val="en-IE"/>
        </w:rPr>
      </w:pPr>
    </w:p>
    <w:p w14:paraId="5D7AACDE" w14:textId="77777777" w:rsidR="00F50AA8" w:rsidRPr="004E07A2" w:rsidRDefault="00F50AA8" w:rsidP="00F50AA8">
      <w:pPr>
        <w:pStyle w:val="DeeStyle1"/>
        <w:numPr>
          <w:ilvl w:val="0"/>
          <w:numId w:val="38"/>
        </w:numPr>
        <w:rPr>
          <w:b w:val="0"/>
          <w:color w:val="auto"/>
          <w:sz w:val="22"/>
          <w:szCs w:val="22"/>
          <w:lang w:val="en-IE"/>
        </w:rPr>
      </w:pPr>
      <w:r w:rsidRPr="004E07A2">
        <w:rPr>
          <w:b w:val="0"/>
          <w:color w:val="auto"/>
          <w:sz w:val="22"/>
          <w:szCs w:val="22"/>
          <w:lang w:val="en-IE"/>
        </w:rPr>
        <w:t>The public sector, maximising its own skills and experience, takes a national leadership role in deploying cost efficient energy efficiency projects and initiatives</w:t>
      </w:r>
    </w:p>
    <w:p w14:paraId="5D7AACDF" w14:textId="77777777" w:rsidR="00F50AA8" w:rsidRPr="004E07A2" w:rsidRDefault="00F50AA8" w:rsidP="00F50AA8">
      <w:pPr>
        <w:pStyle w:val="DeeStyle1"/>
        <w:numPr>
          <w:ilvl w:val="0"/>
          <w:numId w:val="38"/>
        </w:numPr>
        <w:rPr>
          <w:b w:val="0"/>
          <w:color w:val="auto"/>
          <w:sz w:val="22"/>
          <w:szCs w:val="22"/>
          <w:lang w:val="en-IE"/>
        </w:rPr>
      </w:pPr>
      <w:r w:rsidRPr="004E07A2">
        <w:rPr>
          <w:b w:val="0"/>
          <w:color w:val="auto"/>
          <w:sz w:val="22"/>
          <w:szCs w:val="22"/>
          <w:lang w:val="en-IE"/>
        </w:rPr>
        <w:t>The delivery of this Strategy is a shared, whole of Government, effort where all Government Departments, and the bodies under their aegis, play their part in embedding structured energy management as part of their business delivery</w:t>
      </w:r>
    </w:p>
    <w:p w14:paraId="5D7AACE0" w14:textId="77777777" w:rsidR="00F50AA8" w:rsidRPr="004E07A2" w:rsidRDefault="00F50AA8" w:rsidP="00F50AA8">
      <w:pPr>
        <w:pStyle w:val="DeeStyle1"/>
        <w:numPr>
          <w:ilvl w:val="0"/>
          <w:numId w:val="38"/>
        </w:numPr>
        <w:rPr>
          <w:b w:val="0"/>
          <w:color w:val="auto"/>
          <w:sz w:val="22"/>
          <w:szCs w:val="22"/>
          <w:lang w:val="en-IE"/>
        </w:rPr>
      </w:pPr>
      <w:r w:rsidRPr="004E07A2">
        <w:rPr>
          <w:b w:val="0"/>
          <w:color w:val="auto"/>
          <w:sz w:val="22"/>
          <w:szCs w:val="22"/>
          <w:lang w:val="en-IE"/>
        </w:rPr>
        <w:t xml:space="preserve">In the context of public sector reform, the public sector takes an action focused and results driven approach to sustainable and </w:t>
      </w:r>
      <w:proofErr w:type="gramStart"/>
      <w:r w:rsidRPr="004E07A2">
        <w:rPr>
          <w:b w:val="0"/>
          <w:color w:val="auto"/>
          <w:sz w:val="22"/>
          <w:szCs w:val="22"/>
          <w:lang w:val="en-IE"/>
        </w:rPr>
        <w:t>cost efficient</w:t>
      </w:r>
      <w:proofErr w:type="gramEnd"/>
      <w:r w:rsidRPr="004E07A2">
        <w:rPr>
          <w:b w:val="0"/>
          <w:color w:val="auto"/>
          <w:sz w:val="22"/>
          <w:szCs w:val="22"/>
          <w:lang w:val="en-IE"/>
        </w:rPr>
        <w:t xml:space="preserve"> energy management, thereby delivering better value for money and better services for citizens</w:t>
      </w:r>
    </w:p>
    <w:p w14:paraId="5D7AACE1" w14:textId="77777777" w:rsidR="00F50AA8" w:rsidRPr="004E07A2" w:rsidRDefault="00F50AA8" w:rsidP="00F50AA8">
      <w:pPr>
        <w:pStyle w:val="DeeStyle1"/>
        <w:numPr>
          <w:ilvl w:val="0"/>
          <w:numId w:val="38"/>
        </w:numPr>
        <w:rPr>
          <w:b w:val="0"/>
          <w:color w:val="auto"/>
          <w:sz w:val="22"/>
          <w:szCs w:val="22"/>
          <w:lang w:val="en-IE"/>
        </w:rPr>
      </w:pPr>
      <w:r w:rsidRPr="004E07A2">
        <w:rPr>
          <w:b w:val="0"/>
          <w:color w:val="auto"/>
          <w:sz w:val="22"/>
          <w:szCs w:val="22"/>
          <w:lang w:val="en-IE"/>
        </w:rPr>
        <w:t>The public sector contributes to the development of a more sustainable energy system, a reduction in our CO2 emissions and a cleaner healthier environment now and for future generations</w:t>
      </w:r>
    </w:p>
    <w:p w14:paraId="5D7AACE2" w14:textId="77777777" w:rsidR="00F50AA8" w:rsidRPr="004E07A2" w:rsidRDefault="00F50AA8" w:rsidP="00F50AA8">
      <w:pPr>
        <w:pStyle w:val="DeeStyle1"/>
        <w:rPr>
          <w:b w:val="0"/>
          <w:color w:val="auto"/>
          <w:sz w:val="22"/>
          <w:szCs w:val="22"/>
          <w:lang w:val="en-IE"/>
        </w:rPr>
      </w:pPr>
    </w:p>
    <w:p w14:paraId="5D7AACE3" w14:textId="77777777" w:rsidR="00F50AA8" w:rsidRPr="004E07A2" w:rsidRDefault="00F50AA8" w:rsidP="00F50AA8">
      <w:pPr>
        <w:pStyle w:val="DeeStyle1"/>
        <w:rPr>
          <w:b w:val="0"/>
          <w:color w:val="auto"/>
          <w:sz w:val="22"/>
          <w:szCs w:val="22"/>
          <w:lang w:val="en-IE"/>
        </w:rPr>
      </w:pPr>
    </w:p>
    <w:p w14:paraId="5D7AACE4" w14:textId="77777777" w:rsidR="003B1C8B" w:rsidRPr="003B1C8B" w:rsidRDefault="003B1C8B" w:rsidP="003B1C8B">
      <w:pPr>
        <w:pStyle w:val="DeeStyle1"/>
        <w:numPr>
          <w:ilvl w:val="1"/>
          <w:numId w:val="32"/>
        </w:numPr>
        <w:rPr>
          <w:b w:val="0"/>
          <w:color w:val="auto"/>
          <w:sz w:val="24"/>
          <w:lang w:val="en-IE"/>
        </w:rPr>
      </w:pPr>
      <w:r w:rsidRPr="003B1C8B">
        <w:rPr>
          <w:b w:val="0"/>
          <w:color w:val="auto"/>
          <w:sz w:val="24"/>
          <w:lang w:val="en-IE"/>
        </w:rPr>
        <w:lastRenderedPageBreak/>
        <w:t xml:space="preserve">IFI Business Plan </w:t>
      </w:r>
      <w:r>
        <w:rPr>
          <w:b w:val="0"/>
          <w:color w:val="auto"/>
          <w:sz w:val="24"/>
          <w:lang w:val="en-IE"/>
        </w:rPr>
        <w:t xml:space="preserve">- </w:t>
      </w:r>
      <w:r w:rsidRPr="003B1C8B">
        <w:rPr>
          <w:b w:val="0"/>
          <w:color w:val="auto"/>
          <w:sz w:val="24"/>
          <w:lang w:val="en-IE"/>
        </w:rPr>
        <w:t>2018</w:t>
      </w:r>
    </w:p>
    <w:p w14:paraId="5D7AACE5" w14:textId="77777777" w:rsidR="00324DF2" w:rsidRPr="004E07A2" w:rsidRDefault="00F50AA8" w:rsidP="003B1C8B">
      <w:pPr>
        <w:pStyle w:val="DeeStyle1"/>
        <w:rPr>
          <w:b w:val="0"/>
          <w:color w:val="auto"/>
          <w:sz w:val="22"/>
          <w:szCs w:val="22"/>
          <w:lang w:val="en-IE"/>
        </w:rPr>
      </w:pPr>
      <w:r w:rsidRPr="004E07A2">
        <w:rPr>
          <w:b w:val="0"/>
          <w:color w:val="auto"/>
          <w:sz w:val="22"/>
          <w:szCs w:val="22"/>
          <w:lang w:val="en-IE"/>
        </w:rPr>
        <w:t xml:space="preserve">With ambition to deliver </w:t>
      </w:r>
      <w:r w:rsidR="00895C72" w:rsidRPr="004E07A2">
        <w:rPr>
          <w:b w:val="0"/>
          <w:color w:val="auto"/>
          <w:sz w:val="22"/>
          <w:szCs w:val="22"/>
          <w:lang w:val="en-IE"/>
        </w:rPr>
        <w:t>in the context of</w:t>
      </w:r>
      <w:r w:rsidRPr="004E07A2">
        <w:rPr>
          <w:b w:val="0"/>
          <w:color w:val="auto"/>
          <w:sz w:val="22"/>
          <w:szCs w:val="22"/>
          <w:lang w:val="en-IE"/>
        </w:rPr>
        <w:t xml:space="preserve"> </w:t>
      </w:r>
      <w:r w:rsidR="004E07A2">
        <w:rPr>
          <w:b w:val="0"/>
          <w:color w:val="auto"/>
          <w:sz w:val="22"/>
          <w:szCs w:val="22"/>
          <w:lang w:val="en-IE"/>
        </w:rPr>
        <w:t xml:space="preserve">the </w:t>
      </w:r>
      <w:r w:rsidR="004E07A2" w:rsidRPr="004E07A2">
        <w:rPr>
          <w:b w:val="0"/>
          <w:color w:val="auto"/>
          <w:sz w:val="22"/>
          <w:szCs w:val="22"/>
          <w:lang w:val="en-IE"/>
        </w:rPr>
        <w:t>Strategic Framework for Public Sector Energy Efficiency</w:t>
      </w:r>
      <w:r w:rsidRPr="004E07A2">
        <w:rPr>
          <w:b w:val="0"/>
          <w:color w:val="auto"/>
          <w:sz w:val="22"/>
          <w:szCs w:val="22"/>
          <w:lang w:val="en-IE"/>
        </w:rPr>
        <w:t xml:space="preserve">, </w:t>
      </w:r>
      <w:r w:rsidR="00895C72" w:rsidRPr="004E07A2">
        <w:rPr>
          <w:b w:val="0"/>
          <w:color w:val="auto"/>
          <w:sz w:val="22"/>
          <w:szCs w:val="22"/>
          <w:lang w:val="en-IE"/>
        </w:rPr>
        <w:t xml:space="preserve">the </w:t>
      </w:r>
      <w:r w:rsidR="004E07A2">
        <w:rPr>
          <w:b w:val="0"/>
          <w:color w:val="auto"/>
          <w:sz w:val="22"/>
          <w:szCs w:val="22"/>
          <w:lang w:val="en-IE"/>
        </w:rPr>
        <w:t>N</w:t>
      </w:r>
      <w:r w:rsidR="00895C72" w:rsidRPr="004E07A2">
        <w:rPr>
          <w:b w:val="0"/>
          <w:color w:val="auto"/>
          <w:sz w:val="22"/>
          <w:szCs w:val="22"/>
          <w:lang w:val="en-IE"/>
        </w:rPr>
        <w:t xml:space="preserve">ational </w:t>
      </w:r>
      <w:r w:rsidR="004E07A2">
        <w:rPr>
          <w:b w:val="0"/>
          <w:color w:val="auto"/>
          <w:sz w:val="22"/>
          <w:szCs w:val="22"/>
          <w:lang w:val="en-IE"/>
        </w:rPr>
        <w:t>M</w:t>
      </w:r>
      <w:r w:rsidR="00895C72" w:rsidRPr="004E07A2">
        <w:rPr>
          <w:b w:val="0"/>
          <w:color w:val="auto"/>
          <w:sz w:val="22"/>
          <w:szCs w:val="22"/>
          <w:lang w:val="en-IE"/>
        </w:rPr>
        <w:t xml:space="preserve">itigation and </w:t>
      </w:r>
      <w:r w:rsidR="004E07A2">
        <w:rPr>
          <w:b w:val="0"/>
          <w:color w:val="auto"/>
          <w:sz w:val="22"/>
          <w:szCs w:val="22"/>
          <w:lang w:val="en-IE"/>
        </w:rPr>
        <w:t>A</w:t>
      </w:r>
      <w:r w:rsidR="00895C72" w:rsidRPr="004E07A2">
        <w:rPr>
          <w:b w:val="0"/>
          <w:color w:val="auto"/>
          <w:sz w:val="22"/>
          <w:szCs w:val="22"/>
          <w:lang w:val="en-IE"/>
        </w:rPr>
        <w:t xml:space="preserve">daptation </w:t>
      </w:r>
      <w:r w:rsidR="004E07A2">
        <w:rPr>
          <w:b w:val="0"/>
          <w:color w:val="auto"/>
          <w:sz w:val="22"/>
          <w:szCs w:val="22"/>
          <w:lang w:val="en-IE"/>
        </w:rPr>
        <w:t>P</w:t>
      </w:r>
      <w:r w:rsidR="00895C72" w:rsidRPr="004E07A2">
        <w:rPr>
          <w:b w:val="0"/>
          <w:color w:val="auto"/>
          <w:sz w:val="22"/>
          <w:szCs w:val="22"/>
          <w:lang w:val="en-IE"/>
        </w:rPr>
        <w:t xml:space="preserve">lans, </w:t>
      </w:r>
      <w:r w:rsidR="00324DF2" w:rsidRPr="004E07A2">
        <w:rPr>
          <w:b w:val="0"/>
          <w:color w:val="auto"/>
          <w:sz w:val="22"/>
          <w:szCs w:val="22"/>
          <w:lang w:val="en-IE"/>
        </w:rPr>
        <w:t xml:space="preserve">IFI has identified </w:t>
      </w:r>
      <w:proofErr w:type="gramStart"/>
      <w:r w:rsidR="00324DF2" w:rsidRPr="004E07A2">
        <w:rPr>
          <w:b w:val="0"/>
          <w:color w:val="auto"/>
          <w:sz w:val="22"/>
          <w:szCs w:val="22"/>
          <w:lang w:val="en-IE"/>
        </w:rPr>
        <w:t>a number of</w:t>
      </w:r>
      <w:proofErr w:type="gramEnd"/>
      <w:r w:rsidR="00324DF2" w:rsidRPr="004E07A2">
        <w:rPr>
          <w:b w:val="0"/>
          <w:color w:val="auto"/>
          <w:sz w:val="22"/>
          <w:szCs w:val="22"/>
          <w:lang w:val="en-IE"/>
        </w:rPr>
        <w:t xml:space="preserve"> actions and outputs under the strategic heading of ‘Climate Action Programme’ in the 2018 IFI Business Plan. IFI intends to implement this item broadly </w:t>
      </w:r>
      <w:r w:rsidR="00D23B72" w:rsidRPr="004E07A2">
        <w:rPr>
          <w:b w:val="0"/>
          <w:color w:val="auto"/>
          <w:sz w:val="22"/>
          <w:szCs w:val="22"/>
          <w:lang w:val="en-IE"/>
        </w:rPr>
        <w:t xml:space="preserve">under two sub-items as outlined below. </w:t>
      </w:r>
      <w:r w:rsidR="00324DF2" w:rsidRPr="004E07A2">
        <w:rPr>
          <w:b w:val="0"/>
          <w:color w:val="auto"/>
          <w:sz w:val="22"/>
          <w:szCs w:val="22"/>
          <w:lang w:val="en-IE"/>
        </w:rPr>
        <w:t xml:space="preserve"> </w:t>
      </w:r>
    </w:p>
    <w:p w14:paraId="5D7AACE6" w14:textId="77777777" w:rsidR="00324DF2" w:rsidRPr="004E07A2" w:rsidRDefault="00324DF2" w:rsidP="00BC6784">
      <w:pPr>
        <w:pStyle w:val="DeeStyle1"/>
        <w:rPr>
          <w:b w:val="0"/>
          <w:color w:val="auto"/>
          <w:sz w:val="22"/>
          <w:szCs w:val="22"/>
          <w:lang w:val="en-IE"/>
        </w:rPr>
      </w:pPr>
    </w:p>
    <w:p w14:paraId="5D7AACE7" w14:textId="77777777" w:rsidR="00324DF2" w:rsidRPr="004E07A2" w:rsidRDefault="00324DF2" w:rsidP="00BC6784">
      <w:pPr>
        <w:pStyle w:val="DeeStyle1"/>
        <w:rPr>
          <w:b w:val="0"/>
          <w:color w:val="auto"/>
          <w:sz w:val="22"/>
          <w:szCs w:val="22"/>
          <w:lang w:val="en-IE"/>
        </w:rPr>
      </w:pPr>
      <w:r w:rsidRPr="004E07A2">
        <w:rPr>
          <w:noProof/>
          <w:color w:val="auto"/>
          <w:sz w:val="22"/>
          <w:szCs w:val="22"/>
          <w:lang w:val="en-IE" w:eastAsia="en-IE"/>
        </w:rPr>
        <w:drawing>
          <wp:inline distT="0" distB="0" distL="0" distR="0" wp14:anchorId="5D7AAD75" wp14:editId="5D7AAD76">
            <wp:extent cx="5486400" cy="2426677"/>
            <wp:effectExtent l="19050" t="19050" r="1905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2426677"/>
                    </a:xfrm>
                    <a:prstGeom prst="rect">
                      <a:avLst/>
                    </a:prstGeom>
                    <a:ln>
                      <a:solidFill>
                        <a:schemeClr val="tx1"/>
                      </a:solidFill>
                    </a:ln>
                  </pic:spPr>
                </pic:pic>
              </a:graphicData>
            </a:graphic>
          </wp:inline>
        </w:drawing>
      </w:r>
    </w:p>
    <w:p w14:paraId="5D7AACE8" w14:textId="77777777" w:rsidR="00324DF2" w:rsidRPr="004E07A2" w:rsidRDefault="00324DF2" w:rsidP="00BC6784">
      <w:pPr>
        <w:pStyle w:val="DeeStyle1"/>
        <w:rPr>
          <w:b w:val="0"/>
          <w:color w:val="auto"/>
          <w:sz w:val="22"/>
          <w:szCs w:val="22"/>
          <w:lang w:val="en-IE"/>
        </w:rPr>
      </w:pPr>
    </w:p>
    <w:p w14:paraId="5D7AACE9" w14:textId="7AA76345" w:rsidR="00F50AA8" w:rsidRPr="004E07A2" w:rsidRDefault="003B1C8B" w:rsidP="003B1C8B">
      <w:pPr>
        <w:pStyle w:val="DeeStyle1"/>
        <w:rPr>
          <w:b w:val="0"/>
          <w:color w:val="auto"/>
          <w:sz w:val="22"/>
          <w:szCs w:val="22"/>
          <w:lang w:val="en-IE"/>
        </w:rPr>
      </w:pPr>
      <w:r>
        <w:rPr>
          <w:b w:val="0"/>
          <w:color w:val="auto"/>
          <w:sz w:val="22"/>
          <w:szCs w:val="22"/>
          <w:lang w:val="en-IE"/>
        </w:rPr>
        <w:t xml:space="preserve">Action 1: </w:t>
      </w:r>
      <w:r w:rsidR="00254B9D" w:rsidRPr="004E07A2">
        <w:rPr>
          <w:b w:val="0"/>
          <w:color w:val="auto"/>
          <w:sz w:val="22"/>
          <w:szCs w:val="22"/>
          <w:lang w:val="en-IE"/>
        </w:rPr>
        <w:t xml:space="preserve">Development of IFI actions aimed at contributing to national emission </w:t>
      </w:r>
      <w:r w:rsidR="003372D3">
        <w:rPr>
          <w:b w:val="0"/>
          <w:color w:val="auto"/>
          <w:sz w:val="22"/>
          <w:szCs w:val="22"/>
          <w:lang w:val="en-IE"/>
        </w:rPr>
        <w:t xml:space="preserve">and energy </w:t>
      </w:r>
      <w:r w:rsidR="00254B9D" w:rsidRPr="004E07A2">
        <w:rPr>
          <w:b w:val="0"/>
          <w:color w:val="auto"/>
          <w:sz w:val="22"/>
          <w:szCs w:val="22"/>
          <w:lang w:val="en-IE"/>
        </w:rPr>
        <w:t>reduction targets to 2020 and the achievement of the national transition objective.</w:t>
      </w:r>
      <w:r w:rsidR="00D23B72" w:rsidRPr="004E07A2">
        <w:rPr>
          <w:b w:val="0"/>
          <w:color w:val="auto"/>
          <w:sz w:val="22"/>
          <w:szCs w:val="22"/>
          <w:lang w:val="en-IE"/>
        </w:rPr>
        <w:t xml:space="preserve"> </w:t>
      </w:r>
    </w:p>
    <w:p w14:paraId="5D7AACEA" w14:textId="77777777" w:rsidR="00FC57B1" w:rsidRDefault="00FC57B1" w:rsidP="00FC57B1">
      <w:pPr>
        <w:pStyle w:val="DeeStyle1"/>
        <w:rPr>
          <w:b w:val="0"/>
          <w:color w:val="auto"/>
          <w:sz w:val="22"/>
          <w:szCs w:val="22"/>
          <w:lang w:val="en-IE"/>
        </w:rPr>
      </w:pPr>
    </w:p>
    <w:p w14:paraId="5D7AACEB" w14:textId="77777777" w:rsidR="00AA11C2" w:rsidRPr="00AA11C2" w:rsidRDefault="00AA11C2" w:rsidP="00FC57B1">
      <w:pPr>
        <w:pStyle w:val="DeeStyle1"/>
        <w:rPr>
          <w:color w:val="auto"/>
          <w:sz w:val="22"/>
          <w:szCs w:val="22"/>
          <w:lang w:val="en-IE"/>
        </w:rPr>
      </w:pPr>
      <w:r>
        <w:rPr>
          <w:color w:val="auto"/>
          <w:sz w:val="22"/>
          <w:szCs w:val="22"/>
          <w:lang w:val="en-IE"/>
        </w:rPr>
        <w:t xml:space="preserve">2.2.1 </w:t>
      </w:r>
      <w:r w:rsidRPr="00AA11C2">
        <w:rPr>
          <w:color w:val="auto"/>
          <w:sz w:val="22"/>
          <w:szCs w:val="22"/>
          <w:lang w:val="en-IE"/>
        </w:rPr>
        <w:t>Environmental Management Programme (EMP)</w:t>
      </w:r>
    </w:p>
    <w:p w14:paraId="5D7AACEC" w14:textId="77777777" w:rsidR="00D764AF" w:rsidRPr="004E07A2" w:rsidRDefault="00D764AF" w:rsidP="00254B9D">
      <w:pPr>
        <w:pStyle w:val="DeeStyle1"/>
        <w:rPr>
          <w:b w:val="0"/>
          <w:color w:val="auto"/>
          <w:sz w:val="22"/>
          <w:szCs w:val="22"/>
          <w:lang w:val="en-IE"/>
        </w:rPr>
      </w:pPr>
      <w:r w:rsidRPr="004E07A2">
        <w:rPr>
          <w:b w:val="0"/>
          <w:color w:val="auto"/>
          <w:sz w:val="22"/>
          <w:szCs w:val="22"/>
          <w:lang w:val="en-IE"/>
        </w:rPr>
        <w:t xml:space="preserve">IFI intends to </w:t>
      </w:r>
      <w:r w:rsidR="00D23B72" w:rsidRPr="004E07A2">
        <w:rPr>
          <w:b w:val="0"/>
          <w:color w:val="auto"/>
          <w:sz w:val="22"/>
          <w:szCs w:val="22"/>
          <w:lang w:val="en-IE"/>
        </w:rPr>
        <w:t xml:space="preserve">address </w:t>
      </w:r>
      <w:r w:rsidR="000D7864" w:rsidRPr="004E07A2">
        <w:rPr>
          <w:b w:val="0"/>
          <w:color w:val="auto"/>
          <w:sz w:val="22"/>
          <w:szCs w:val="22"/>
          <w:lang w:val="en-IE"/>
        </w:rPr>
        <w:t xml:space="preserve">the </w:t>
      </w:r>
      <w:r w:rsidR="00D23B72" w:rsidRPr="004E07A2">
        <w:rPr>
          <w:b w:val="0"/>
          <w:color w:val="auto"/>
          <w:sz w:val="22"/>
          <w:szCs w:val="22"/>
          <w:lang w:val="en-IE"/>
        </w:rPr>
        <w:t xml:space="preserve">environmental impact of our activities </w:t>
      </w:r>
      <w:r w:rsidR="000D7864" w:rsidRPr="004E07A2">
        <w:rPr>
          <w:b w:val="0"/>
          <w:color w:val="auto"/>
          <w:sz w:val="22"/>
          <w:szCs w:val="22"/>
          <w:lang w:val="en-IE"/>
        </w:rPr>
        <w:t>through</w:t>
      </w:r>
      <w:r w:rsidR="00254B9D" w:rsidRPr="004E07A2">
        <w:rPr>
          <w:b w:val="0"/>
          <w:color w:val="auto"/>
          <w:sz w:val="22"/>
          <w:szCs w:val="22"/>
          <w:lang w:val="en-IE"/>
        </w:rPr>
        <w:t xml:space="preserve"> </w:t>
      </w:r>
      <w:r w:rsidR="00FC57B1" w:rsidRPr="004E07A2">
        <w:rPr>
          <w:b w:val="0"/>
          <w:color w:val="auto"/>
          <w:sz w:val="22"/>
          <w:szCs w:val="22"/>
          <w:lang w:val="en-IE"/>
        </w:rPr>
        <w:t>ongoing</w:t>
      </w:r>
      <w:r w:rsidR="00254B9D" w:rsidRPr="004E07A2">
        <w:rPr>
          <w:b w:val="0"/>
          <w:color w:val="auto"/>
          <w:sz w:val="22"/>
          <w:szCs w:val="22"/>
          <w:lang w:val="en-IE"/>
        </w:rPr>
        <w:t xml:space="preserve"> development of</w:t>
      </w:r>
      <w:r w:rsidR="000D7864" w:rsidRPr="004E07A2">
        <w:rPr>
          <w:b w:val="0"/>
          <w:color w:val="auto"/>
          <w:sz w:val="22"/>
          <w:szCs w:val="22"/>
          <w:lang w:val="en-IE"/>
        </w:rPr>
        <w:t xml:space="preserve"> </w:t>
      </w:r>
      <w:r w:rsidR="00254B9D" w:rsidRPr="004E07A2">
        <w:rPr>
          <w:b w:val="0"/>
          <w:color w:val="auto"/>
          <w:sz w:val="22"/>
          <w:szCs w:val="22"/>
          <w:lang w:val="en-IE"/>
        </w:rPr>
        <w:t>IFI’s</w:t>
      </w:r>
      <w:r w:rsidRPr="004E07A2">
        <w:rPr>
          <w:b w:val="0"/>
          <w:color w:val="auto"/>
          <w:sz w:val="22"/>
          <w:szCs w:val="22"/>
          <w:lang w:val="en-IE"/>
        </w:rPr>
        <w:t xml:space="preserve"> </w:t>
      </w:r>
      <w:r w:rsidR="00254B9D" w:rsidRPr="004E07A2">
        <w:rPr>
          <w:b w:val="0"/>
          <w:color w:val="auto"/>
          <w:sz w:val="22"/>
          <w:szCs w:val="22"/>
          <w:lang w:val="en-IE"/>
        </w:rPr>
        <w:t xml:space="preserve">current </w:t>
      </w:r>
      <w:r w:rsidRPr="004E07A2">
        <w:rPr>
          <w:b w:val="0"/>
          <w:color w:val="auto"/>
          <w:sz w:val="22"/>
          <w:szCs w:val="22"/>
          <w:lang w:val="en-IE"/>
        </w:rPr>
        <w:t xml:space="preserve">Environmental Management System (EMS) </w:t>
      </w:r>
      <w:r w:rsidR="00895C72" w:rsidRPr="004E07A2">
        <w:rPr>
          <w:b w:val="0"/>
          <w:color w:val="auto"/>
          <w:sz w:val="22"/>
          <w:szCs w:val="22"/>
          <w:lang w:val="en-IE"/>
        </w:rPr>
        <w:t xml:space="preserve">activities </w:t>
      </w:r>
      <w:proofErr w:type="gramStart"/>
      <w:r w:rsidR="00FC57B1" w:rsidRPr="004E07A2">
        <w:rPr>
          <w:b w:val="0"/>
          <w:color w:val="auto"/>
          <w:sz w:val="22"/>
          <w:szCs w:val="22"/>
          <w:lang w:val="en-IE"/>
        </w:rPr>
        <w:t xml:space="preserve">in order </w:t>
      </w:r>
      <w:r w:rsidRPr="004E07A2">
        <w:rPr>
          <w:b w:val="0"/>
          <w:color w:val="auto"/>
          <w:sz w:val="22"/>
          <w:szCs w:val="22"/>
          <w:lang w:val="en-IE"/>
        </w:rPr>
        <w:t>to</w:t>
      </w:r>
      <w:proofErr w:type="gramEnd"/>
      <w:r w:rsidR="00895C72" w:rsidRPr="004E07A2">
        <w:rPr>
          <w:b w:val="0"/>
          <w:color w:val="auto"/>
          <w:sz w:val="22"/>
          <w:szCs w:val="22"/>
          <w:lang w:val="en-IE"/>
        </w:rPr>
        <w:t xml:space="preserve"> deliver</w:t>
      </w:r>
      <w:r w:rsidRPr="004E07A2">
        <w:rPr>
          <w:b w:val="0"/>
          <w:color w:val="auto"/>
          <w:sz w:val="22"/>
          <w:szCs w:val="22"/>
          <w:lang w:val="en-IE"/>
        </w:rPr>
        <w:t>:</w:t>
      </w:r>
    </w:p>
    <w:p w14:paraId="5D7AACED" w14:textId="77777777" w:rsidR="00BC6784" w:rsidRPr="004E07A2" w:rsidRDefault="00BC6784" w:rsidP="00BC6784">
      <w:pPr>
        <w:pStyle w:val="DeeStyle1"/>
        <w:rPr>
          <w:b w:val="0"/>
          <w:color w:val="auto"/>
          <w:sz w:val="22"/>
          <w:szCs w:val="22"/>
          <w:lang w:val="en-IE"/>
        </w:rPr>
      </w:pPr>
    </w:p>
    <w:p w14:paraId="5D7AACEE" w14:textId="6D0946B5" w:rsidR="00D23B72" w:rsidRPr="004E07A2" w:rsidRDefault="00254B9D" w:rsidP="00BC6784">
      <w:pPr>
        <w:pStyle w:val="DeeStyle1"/>
        <w:numPr>
          <w:ilvl w:val="0"/>
          <w:numId w:val="34"/>
        </w:numPr>
        <w:rPr>
          <w:b w:val="0"/>
          <w:color w:val="auto"/>
          <w:sz w:val="22"/>
          <w:szCs w:val="22"/>
          <w:lang w:val="en-IE"/>
        </w:rPr>
      </w:pPr>
      <w:r w:rsidRPr="004E07A2">
        <w:rPr>
          <w:b w:val="0"/>
          <w:color w:val="auto"/>
          <w:sz w:val="22"/>
          <w:szCs w:val="22"/>
          <w:lang w:val="en-IE"/>
        </w:rPr>
        <w:t>Improve</w:t>
      </w:r>
      <w:r w:rsidR="00F05A4B" w:rsidRPr="004E07A2">
        <w:rPr>
          <w:b w:val="0"/>
          <w:color w:val="auto"/>
          <w:sz w:val="22"/>
          <w:szCs w:val="22"/>
          <w:lang w:val="en-IE"/>
        </w:rPr>
        <w:t>d</w:t>
      </w:r>
      <w:r w:rsidRPr="004E07A2">
        <w:rPr>
          <w:b w:val="0"/>
          <w:color w:val="auto"/>
          <w:sz w:val="22"/>
          <w:szCs w:val="22"/>
          <w:lang w:val="en-IE"/>
        </w:rPr>
        <w:t xml:space="preserve"> energy efficiency</w:t>
      </w:r>
      <w:r w:rsidR="003372D3">
        <w:rPr>
          <w:b w:val="0"/>
          <w:color w:val="auto"/>
          <w:sz w:val="22"/>
          <w:szCs w:val="22"/>
          <w:lang w:val="en-IE"/>
        </w:rPr>
        <w:t xml:space="preserve"> through energy auditing and subsequent </w:t>
      </w:r>
      <w:proofErr w:type="gramStart"/>
      <w:r w:rsidR="003372D3">
        <w:rPr>
          <w:b w:val="0"/>
          <w:color w:val="auto"/>
          <w:sz w:val="22"/>
          <w:szCs w:val="22"/>
          <w:lang w:val="en-IE"/>
        </w:rPr>
        <w:t>action</w:t>
      </w:r>
      <w:r w:rsidR="004E07A2">
        <w:rPr>
          <w:b w:val="0"/>
          <w:color w:val="auto"/>
          <w:sz w:val="22"/>
          <w:szCs w:val="22"/>
          <w:lang w:val="en-IE"/>
        </w:rPr>
        <w:t>;</w:t>
      </w:r>
      <w:proofErr w:type="gramEnd"/>
    </w:p>
    <w:p w14:paraId="5D7AACEF" w14:textId="77777777" w:rsidR="00D23B72" w:rsidRPr="004E07A2" w:rsidRDefault="00254B9D" w:rsidP="00BC6784">
      <w:pPr>
        <w:pStyle w:val="DeeStyle1"/>
        <w:numPr>
          <w:ilvl w:val="0"/>
          <w:numId w:val="34"/>
        </w:numPr>
        <w:rPr>
          <w:b w:val="0"/>
          <w:color w:val="auto"/>
          <w:sz w:val="22"/>
          <w:szCs w:val="22"/>
          <w:lang w:val="en-IE"/>
        </w:rPr>
      </w:pPr>
      <w:r w:rsidRPr="004E07A2">
        <w:rPr>
          <w:b w:val="0"/>
          <w:color w:val="auto"/>
          <w:sz w:val="22"/>
          <w:szCs w:val="22"/>
          <w:lang w:val="en-IE"/>
        </w:rPr>
        <w:t>Reduce</w:t>
      </w:r>
      <w:r w:rsidR="00F05A4B" w:rsidRPr="004E07A2">
        <w:rPr>
          <w:b w:val="0"/>
          <w:color w:val="auto"/>
          <w:sz w:val="22"/>
          <w:szCs w:val="22"/>
          <w:lang w:val="en-IE"/>
        </w:rPr>
        <w:t>d</w:t>
      </w:r>
      <w:r w:rsidRPr="004E07A2">
        <w:rPr>
          <w:b w:val="0"/>
          <w:color w:val="auto"/>
          <w:sz w:val="22"/>
          <w:szCs w:val="22"/>
          <w:lang w:val="en-IE"/>
        </w:rPr>
        <w:t xml:space="preserve"> generation </w:t>
      </w:r>
      <w:r w:rsidR="00F05A4B" w:rsidRPr="004E07A2">
        <w:rPr>
          <w:b w:val="0"/>
          <w:color w:val="auto"/>
          <w:sz w:val="22"/>
          <w:szCs w:val="22"/>
          <w:lang w:val="en-IE"/>
        </w:rPr>
        <w:t xml:space="preserve">and improved management of </w:t>
      </w:r>
      <w:r w:rsidRPr="004E07A2">
        <w:rPr>
          <w:b w:val="0"/>
          <w:color w:val="auto"/>
          <w:sz w:val="22"/>
          <w:szCs w:val="22"/>
          <w:lang w:val="en-IE"/>
        </w:rPr>
        <w:t>wastes</w:t>
      </w:r>
      <w:r w:rsidR="00F05A4B" w:rsidRPr="004E07A2">
        <w:rPr>
          <w:b w:val="0"/>
          <w:color w:val="auto"/>
          <w:sz w:val="22"/>
          <w:szCs w:val="22"/>
          <w:lang w:val="en-IE"/>
        </w:rPr>
        <w:t xml:space="preserve">, emissions, </w:t>
      </w:r>
      <w:proofErr w:type="gramStart"/>
      <w:r w:rsidR="00F05A4B" w:rsidRPr="004E07A2">
        <w:rPr>
          <w:b w:val="0"/>
          <w:color w:val="auto"/>
          <w:sz w:val="22"/>
          <w:szCs w:val="22"/>
          <w:lang w:val="en-IE"/>
        </w:rPr>
        <w:t>effluents</w:t>
      </w:r>
      <w:r w:rsidR="004E07A2">
        <w:rPr>
          <w:b w:val="0"/>
          <w:color w:val="auto"/>
          <w:sz w:val="22"/>
          <w:szCs w:val="22"/>
          <w:lang w:val="en-IE"/>
        </w:rPr>
        <w:t>;</w:t>
      </w:r>
      <w:proofErr w:type="gramEnd"/>
    </w:p>
    <w:p w14:paraId="5D7AACF0" w14:textId="77777777" w:rsidR="00D23B72" w:rsidRPr="004E07A2" w:rsidRDefault="00254B9D" w:rsidP="00BC6784">
      <w:pPr>
        <w:pStyle w:val="DeeStyle1"/>
        <w:numPr>
          <w:ilvl w:val="0"/>
          <w:numId w:val="34"/>
        </w:numPr>
        <w:rPr>
          <w:b w:val="0"/>
          <w:color w:val="auto"/>
          <w:sz w:val="22"/>
          <w:szCs w:val="22"/>
          <w:lang w:val="en-IE"/>
        </w:rPr>
      </w:pPr>
      <w:r w:rsidRPr="004E07A2">
        <w:rPr>
          <w:b w:val="0"/>
          <w:color w:val="auto"/>
          <w:sz w:val="22"/>
          <w:szCs w:val="22"/>
          <w:lang w:val="en-IE"/>
        </w:rPr>
        <w:t>Conserv</w:t>
      </w:r>
      <w:r w:rsidR="004E07A2">
        <w:rPr>
          <w:b w:val="0"/>
          <w:color w:val="auto"/>
          <w:sz w:val="22"/>
          <w:szCs w:val="22"/>
          <w:lang w:val="en-IE"/>
        </w:rPr>
        <w:t>ation of</w:t>
      </w:r>
      <w:r w:rsidRPr="004E07A2">
        <w:rPr>
          <w:b w:val="0"/>
          <w:color w:val="auto"/>
          <w:sz w:val="22"/>
          <w:szCs w:val="22"/>
          <w:lang w:val="en-IE"/>
        </w:rPr>
        <w:t xml:space="preserve"> natural resources</w:t>
      </w:r>
      <w:r w:rsidR="004E07A2">
        <w:rPr>
          <w:b w:val="0"/>
          <w:color w:val="auto"/>
          <w:sz w:val="22"/>
          <w:szCs w:val="22"/>
          <w:lang w:val="en-IE"/>
        </w:rPr>
        <w:t xml:space="preserve"> where </w:t>
      </w:r>
      <w:proofErr w:type="gramStart"/>
      <w:r w:rsidR="004E07A2">
        <w:rPr>
          <w:b w:val="0"/>
          <w:color w:val="auto"/>
          <w:sz w:val="22"/>
          <w:szCs w:val="22"/>
          <w:lang w:val="en-IE"/>
        </w:rPr>
        <w:t>possible;</w:t>
      </w:r>
      <w:proofErr w:type="gramEnd"/>
    </w:p>
    <w:p w14:paraId="5D7AACF1" w14:textId="77777777" w:rsidR="00D764AF" w:rsidRPr="004E07A2" w:rsidRDefault="004E07A2" w:rsidP="00BC6784">
      <w:pPr>
        <w:pStyle w:val="DeeStyle1"/>
        <w:numPr>
          <w:ilvl w:val="0"/>
          <w:numId w:val="34"/>
        </w:numPr>
        <w:rPr>
          <w:b w:val="0"/>
          <w:color w:val="auto"/>
          <w:sz w:val="22"/>
          <w:szCs w:val="22"/>
          <w:lang w:val="en-IE"/>
        </w:rPr>
      </w:pPr>
      <w:r>
        <w:rPr>
          <w:b w:val="0"/>
          <w:color w:val="auto"/>
          <w:sz w:val="22"/>
          <w:szCs w:val="22"/>
          <w:lang w:val="en-IE"/>
        </w:rPr>
        <w:lastRenderedPageBreak/>
        <w:t>E</w:t>
      </w:r>
      <w:r w:rsidR="00D764AF" w:rsidRPr="004E07A2">
        <w:rPr>
          <w:b w:val="0"/>
          <w:color w:val="auto"/>
          <w:sz w:val="22"/>
          <w:szCs w:val="22"/>
          <w:lang w:val="en-IE"/>
        </w:rPr>
        <w:t>fficien</w:t>
      </w:r>
      <w:r w:rsidR="00254B9D" w:rsidRPr="004E07A2">
        <w:rPr>
          <w:b w:val="0"/>
          <w:color w:val="auto"/>
          <w:sz w:val="22"/>
          <w:szCs w:val="22"/>
          <w:lang w:val="en-IE"/>
        </w:rPr>
        <w:t>t</w:t>
      </w:r>
      <w:r>
        <w:rPr>
          <w:b w:val="0"/>
          <w:color w:val="auto"/>
          <w:sz w:val="22"/>
          <w:szCs w:val="22"/>
          <w:lang w:val="en-IE"/>
        </w:rPr>
        <w:t xml:space="preserve"> operation with associated</w:t>
      </w:r>
      <w:r w:rsidR="00254B9D" w:rsidRPr="004E07A2">
        <w:rPr>
          <w:b w:val="0"/>
          <w:color w:val="auto"/>
          <w:sz w:val="22"/>
          <w:szCs w:val="22"/>
          <w:lang w:val="en-IE"/>
        </w:rPr>
        <w:t xml:space="preserve"> cost </w:t>
      </w:r>
      <w:proofErr w:type="gramStart"/>
      <w:r w:rsidR="00254B9D" w:rsidRPr="004E07A2">
        <w:rPr>
          <w:b w:val="0"/>
          <w:color w:val="auto"/>
          <w:sz w:val="22"/>
          <w:szCs w:val="22"/>
          <w:lang w:val="en-IE"/>
        </w:rPr>
        <w:t>savings</w:t>
      </w:r>
      <w:r>
        <w:rPr>
          <w:b w:val="0"/>
          <w:color w:val="auto"/>
          <w:sz w:val="22"/>
          <w:szCs w:val="22"/>
          <w:lang w:val="en-IE"/>
        </w:rPr>
        <w:t>;</w:t>
      </w:r>
      <w:proofErr w:type="gramEnd"/>
    </w:p>
    <w:p w14:paraId="5D7AACF2" w14:textId="77777777" w:rsidR="00AA24C0" w:rsidRPr="004E07A2" w:rsidRDefault="003B1C8B" w:rsidP="00AA24C0">
      <w:pPr>
        <w:pStyle w:val="DeeStyle1"/>
        <w:numPr>
          <w:ilvl w:val="0"/>
          <w:numId w:val="34"/>
        </w:numPr>
        <w:rPr>
          <w:b w:val="0"/>
          <w:color w:val="auto"/>
          <w:sz w:val="22"/>
          <w:szCs w:val="22"/>
          <w:lang w:val="en-IE"/>
        </w:rPr>
      </w:pPr>
      <w:r>
        <w:rPr>
          <w:b w:val="0"/>
          <w:color w:val="auto"/>
          <w:sz w:val="22"/>
          <w:szCs w:val="22"/>
          <w:lang w:val="en-IE"/>
        </w:rPr>
        <w:t>E</w:t>
      </w:r>
      <w:r w:rsidR="00D764AF" w:rsidRPr="004E07A2">
        <w:rPr>
          <w:b w:val="0"/>
          <w:color w:val="auto"/>
          <w:sz w:val="22"/>
          <w:szCs w:val="22"/>
          <w:lang w:val="en-IE"/>
        </w:rPr>
        <w:t xml:space="preserve">nvironmental </w:t>
      </w:r>
      <w:r w:rsidR="00254B9D" w:rsidRPr="004E07A2">
        <w:rPr>
          <w:b w:val="0"/>
          <w:color w:val="auto"/>
          <w:sz w:val="22"/>
          <w:szCs w:val="22"/>
          <w:lang w:val="en-IE"/>
        </w:rPr>
        <w:t xml:space="preserve">/ climate action </w:t>
      </w:r>
      <w:r w:rsidR="00D764AF" w:rsidRPr="004E07A2">
        <w:rPr>
          <w:b w:val="0"/>
          <w:color w:val="auto"/>
          <w:sz w:val="22"/>
          <w:szCs w:val="22"/>
          <w:lang w:val="en-IE"/>
        </w:rPr>
        <w:t>initiatives that are aligned with the</w:t>
      </w:r>
      <w:r w:rsidR="00324DF2" w:rsidRPr="004E07A2">
        <w:rPr>
          <w:b w:val="0"/>
          <w:color w:val="auto"/>
          <w:sz w:val="22"/>
          <w:szCs w:val="22"/>
          <w:lang w:val="en-IE"/>
        </w:rPr>
        <w:t xml:space="preserve"> </w:t>
      </w:r>
      <w:r w:rsidR="00D764AF" w:rsidRPr="004E07A2">
        <w:rPr>
          <w:b w:val="0"/>
          <w:color w:val="auto"/>
          <w:sz w:val="22"/>
          <w:szCs w:val="22"/>
          <w:lang w:val="en-IE"/>
        </w:rPr>
        <w:t xml:space="preserve">strategic aims of </w:t>
      </w:r>
      <w:r w:rsidR="00324DF2" w:rsidRPr="004E07A2">
        <w:rPr>
          <w:b w:val="0"/>
          <w:color w:val="auto"/>
          <w:sz w:val="22"/>
          <w:szCs w:val="22"/>
          <w:lang w:val="en-IE"/>
        </w:rPr>
        <w:t>IFI</w:t>
      </w:r>
      <w:r w:rsidR="00D764AF" w:rsidRPr="004E07A2">
        <w:rPr>
          <w:b w:val="0"/>
          <w:color w:val="auto"/>
          <w:sz w:val="22"/>
          <w:szCs w:val="22"/>
          <w:lang w:val="en-IE"/>
        </w:rPr>
        <w:t>.</w:t>
      </w:r>
    </w:p>
    <w:p w14:paraId="5D7AACF3" w14:textId="77777777" w:rsidR="00174500" w:rsidRPr="004E07A2" w:rsidRDefault="00174500" w:rsidP="00174500">
      <w:pPr>
        <w:pStyle w:val="DeeStyle1"/>
        <w:ind w:left="360"/>
        <w:rPr>
          <w:b w:val="0"/>
          <w:color w:val="auto"/>
          <w:sz w:val="22"/>
          <w:szCs w:val="22"/>
          <w:lang w:val="en-IE"/>
        </w:rPr>
      </w:pPr>
    </w:p>
    <w:p w14:paraId="5D7AACF4" w14:textId="77777777" w:rsidR="00324DF2" w:rsidRPr="004E07A2" w:rsidRDefault="00D764AF" w:rsidP="00BC6784">
      <w:pPr>
        <w:pStyle w:val="DeeStyle1"/>
        <w:rPr>
          <w:b w:val="0"/>
          <w:color w:val="auto"/>
          <w:sz w:val="22"/>
          <w:szCs w:val="22"/>
          <w:lang w:val="en-IE"/>
        </w:rPr>
      </w:pPr>
      <w:r w:rsidRPr="004E07A2">
        <w:rPr>
          <w:b w:val="0"/>
          <w:color w:val="auto"/>
          <w:sz w:val="22"/>
          <w:szCs w:val="22"/>
          <w:lang w:val="en-IE"/>
        </w:rPr>
        <w:t xml:space="preserve">IFI </w:t>
      </w:r>
      <w:r w:rsidR="00254B9D" w:rsidRPr="004E07A2">
        <w:rPr>
          <w:b w:val="0"/>
          <w:color w:val="auto"/>
          <w:sz w:val="22"/>
          <w:szCs w:val="22"/>
          <w:lang w:val="en-IE"/>
        </w:rPr>
        <w:t>will</w:t>
      </w:r>
      <w:r w:rsidRPr="004E07A2">
        <w:rPr>
          <w:b w:val="0"/>
          <w:color w:val="auto"/>
          <w:sz w:val="22"/>
          <w:szCs w:val="22"/>
          <w:lang w:val="en-IE"/>
        </w:rPr>
        <w:t xml:space="preserve"> form a </w:t>
      </w:r>
      <w:r w:rsidR="00324DF2" w:rsidRPr="004E07A2">
        <w:rPr>
          <w:b w:val="0"/>
          <w:color w:val="auto"/>
          <w:sz w:val="22"/>
          <w:szCs w:val="22"/>
          <w:lang w:val="en-IE"/>
        </w:rPr>
        <w:t xml:space="preserve">national </w:t>
      </w:r>
      <w:r w:rsidRPr="004E07A2">
        <w:rPr>
          <w:b w:val="0"/>
          <w:color w:val="auto"/>
          <w:sz w:val="22"/>
          <w:szCs w:val="22"/>
          <w:lang w:val="en-IE"/>
        </w:rPr>
        <w:t>‘</w:t>
      </w:r>
      <w:r w:rsidR="000D7864" w:rsidRPr="004E07A2">
        <w:rPr>
          <w:b w:val="0"/>
          <w:color w:val="auto"/>
          <w:sz w:val="22"/>
          <w:szCs w:val="22"/>
          <w:lang w:val="en-IE"/>
        </w:rPr>
        <w:t xml:space="preserve">EMS </w:t>
      </w:r>
      <w:r w:rsidRPr="004E07A2">
        <w:rPr>
          <w:b w:val="0"/>
          <w:color w:val="auto"/>
          <w:sz w:val="22"/>
          <w:szCs w:val="22"/>
          <w:lang w:val="en-IE"/>
        </w:rPr>
        <w:t xml:space="preserve">Team’ to implement the requirements of the EMS through </w:t>
      </w:r>
      <w:r w:rsidR="00590F08" w:rsidRPr="004E07A2">
        <w:rPr>
          <w:b w:val="0"/>
          <w:color w:val="auto"/>
          <w:sz w:val="22"/>
          <w:szCs w:val="22"/>
          <w:lang w:val="en-IE"/>
        </w:rPr>
        <w:t>a national</w:t>
      </w:r>
      <w:r w:rsidRPr="004E07A2">
        <w:rPr>
          <w:b w:val="0"/>
          <w:color w:val="auto"/>
          <w:sz w:val="22"/>
          <w:szCs w:val="22"/>
          <w:lang w:val="en-IE"/>
        </w:rPr>
        <w:t xml:space="preserve"> Environmental Management Programme </w:t>
      </w:r>
      <w:r w:rsidR="00590F08" w:rsidRPr="004E07A2">
        <w:rPr>
          <w:b w:val="0"/>
          <w:color w:val="auto"/>
          <w:sz w:val="22"/>
          <w:szCs w:val="22"/>
          <w:lang w:val="en-IE"/>
        </w:rPr>
        <w:t>(EMP) a</w:t>
      </w:r>
      <w:r w:rsidRPr="004E07A2">
        <w:rPr>
          <w:b w:val="0"/>
          <w:color w:val="auto"/>
          <w:sz w:val="22"/>
          <w:szCs w:val="22"/>
          <w:lang w:val="en-IE"/>
        </w:rPr>
        <w:t xml:space="preserve">nd will annually identify aspects of IFI’s operations that impact, or </w:t>
      </w:r>
      <w:r w:rsidR="000D7864" w:rsidRPr="004E07A2">
        <w:rPr>
          <w:b w:val="0"/>
          <w:color w:val="auto"/>
          <w:sz w:val="22"/>
          <w:szCs w:val="22"/>
          <w:lang w:val="en-IE"/>
        </w:rPr>
        <w:t>have the potential to impact,</w:t>
      </w:r>
      <w:r w:rsidRPr="004E07A2">
        <w:rPr>
          <w:b w:val="0"/>
          <w:color w:val="auto"/>
          <w:sz w:val="22"/>
          <w:szCs w:val="22"/>
          <w:lang w:val="en-IE"/>
        </w:rPr>
        <w:t xml:space="preserve"> the environment.</w:t>
      </w:r>
      <w:r w:rsidR="00590F08" w:rsidRPr="004E07A2">
        <w:rPr>
          <w:b w:val="0"/>
          <w:color w:val="auto"/>
          <w:sz w:val="22"/>
          <w:szCs w:val="22"/>
          <w:lang w:val="en-IE"/>
        </w:rPr>
        <w:t xml:space="preserve"> </w:t>
      </w:r>
      <w:r w:rsidRPr="004E07A2">
        <w:rPr>
          <w:b w:val="0"/>
          <w:color w:val="auto"/>
          <w:sz w:val="22"/>
          <w:szCs w:val="22"/>
          <w:lang w:val="en-IE"/>
        </w:rPr>
        <w:t xml:space="preserve">The relative significance of these aspects will be </w:t>
      </w:r>
      <w:proofErr w:type="gramStart"/>
      <w:r w:rsidRPr="004E07A2">
        <w:rPr>
          <w:b w:val="0"/>
          <w:color w:val="auto"/>
          <w:sz w:val="22"/>
          <w:szCs w:val="22"/>
          <w:lang w:val="en-IE"/>
        </w:rPr>
        <w:t>recorded</w:t>
      </w:r>
      <w:proofErr w:type="gramEnd"/>
      <w:r w:rsidRPr="004E07A2">
        <w:rPr>
          <w:b w:val="0"/>
          <w:color w:val="auto"/>
          <w:sz w:val="22"/>
          <w:szCs w:val="22"/>
          <w:lang w:val="en-IE"/>
        </w:rPr>
        <w:t xml:space="preserve"> and objectives will be set and </w:t>
      </w:r>
      <w:r w:rsidR="00590F08" w:rsidRPr="004E07A2">
        <w:rPr>
          <w:b w:val="0"/>
          <w:color w:val="auto"/>
          <w:sz w:val="22"/>
          <w:szCs w:val="22"/>
          <w:lang w:val="en-IE"/>
        </w:rPr>
        <w:t>mitigations will be</w:t>
      </w:r>
      <w:r w:rsidRPr="004E07A2">
        <w:rPr>
          <w:b w:val="0"/>
          <w:color w:val="auto"/>
          <w:sz w:val="22"/>
          <w:szCs w:val="22"/>
          <w:lang w:val="en-IE"/>
        </w:rPr>
        <w:t xml:space="preserve"> put in place to reduce their potential impact on the environment. The significant aspects for reporting </w:t>
      </w:r>
      <w:r w:rsidR="00505659" w:rsidRPr="004E07A2">
        <w:rPr>
          <w:b w:val="0"/>
          <w:color w:val="auto"/>
          <w:sz w:val="22"/>
          <w:szCs w:val="22"/>
          <w:lang w:val="en-IE"/>
        </w:rPr>
        <w:t xml:space="preserve">and action </w:t>
      </w:r>
      <w:r w:rsidRPr="004E07A2">
        <w:rPr>
          <w:b w:val="0"/>
          <w:color w:val="auto"/>
          <w:sz w:val="22"/>
          <w:szCs w:val="22"/>
          <w:lang w:val="en-IE"/>
        </w:rPr>
        <w:t>here will include:</w:t>
      </w:r>
    </w:p>
    <w:p w14:paraId="5D7AACF5" w14:textId="77777777" w:rsidR="00174500" w:rsidRPr="004E07A2" w:rsidRDefault="00174500" w:rsidP="00BC6784">
      <w:pPr>
        <w:pStyle w:val="DeeStyle1"/>
        <w:rPr>
          <w:b w:val="0"/>
          <w:color w:val="auto"/>
          <w:sz w:val="22"/>
          <w:szCs w:val="22"/>
          <w:lang w:val="en-IE"/>
        </w:rPr>
      </w:pPr>
    </w:p>
    <w:p w14:paraId="5D7AACF6" w14:textId="77777777" w:rsidR="006B1854" w:rsidRPr="003B1C8B" w:rsidRDefault="00AA11C2" w:rsidP="006B1854">
      <w:pPr>
        <w:pStyle w:val="DeeStyle1"/>
        <w:rPr>
          <w:color w:val="auto"/>
          <w:sz w:val="22"/>
          <w:szCs w:val="22"/>
          <w:lang w:val="en-IE"/>
        </w:rPr>
      </w:pPr>
      <w:r>
        <w:rPr>
          <w:color w:val="auto"/>
          <w:sz w:val="22"/>
          <w:szCs w:val="22"/>
          <w:lang w:val="en-IE"/>
        </w:rPr>
        <w:t xml:space="preserve">2.2.2 </w:t>
      </w:r>
      <w:r w:rsidR="00505659" w:rsidRPr="003B1C8B">
        <w:rPr>
          <w:color w:val="auto"/>
          <w:sz w:val="22"/>
          <w:szCs w:val="22"/>
          <w:lang w:val="en-IE"/>
        </w:rPr>
        <w:t>Energy</w:t>
      </w:r>
    </w:p>
    <w:p w14:paraId="5D7AACF7" w14:textId="7055155A" w:rsidR="006B1854" w:rsidRPr="004E07A2" w:rsidRDefault="006B1854" w:rsidP="006B1854">
      <w:pPr>
        <w:pStyle w:val="DeeStyle1"/>
        <w:rPr>
          <w:b w:val="0"/>
          <w:color w:val="auto"/>
          <w:sz w:val="22"/>
          <w:szCs w:val="22"/>
          <w:lang w:val="en-IE"/>
        </w:rPr>
      </w:pPr>
      <w:r w:rsidRPr="004E07A2">
        <w:rPr>
          <w:b w:val="0"/>
          <w:color w:val="auto"/>
          <w:sz w:val="22"/>
          <w:szCs w:val="22"/>
          <w:lang w:val="en-IE"/>
        </w:rPr>
        <w:t xml:space="preserve">A structured approach to energy management </w:t>
      </w:r>
      <w:r w:rsidR="003B1C8B">
        <w:rPr>
          <w:b w:val="0"/>
          <w:color w:val="auto"/>
          <w:sz w:val="22"/>
          <w:szCs w:val="22"/>
          <w:lang w:val="en-IE"/>
        </w:rPr>
        <w:t>will make</w:t>
      </w:r>
      <w:r w:rsidRPr="004E07A2">
        <w:rPr>
          <w:b w:val="0"/>
          <w:color w:val="auto"/>
          <w:sz w:val="22"/>
          <w:szCs w:val="22"/>
          <w:lang w:val="en-IE"/>
        </w:rPr>
        <w:t xml:space="preserve"> environmental and financial sense for </w:t>
      </w:r>
      <w:r w:rsidR="003B1C8B">
        <w:rPr>
          <w:b w:val="0"/>
          <w:color w:val="auto"/>
          <w:sz w:val="22"/>
          <w:szCs w:val="22"/>
          <w:lang w:val="en-IE"/>
        </w:rPr>
        <w:t>IFI</w:t>
      </w:r>
      <w:r w:rsidRPr="004E07A2">
        <w:rPr>
          <w:b w:val="0"/>
          <w:color w:val="auto"/>
          <w:sz w:val="22"/>
          <w:szCs w:val="22"/>
          <w:lang w:val="en-IE"/>
        </w:rPr>
        <w:t xml:space="preserve">. </w:t>
      </w:r>
      <w:r w:rsidR="008C0E92">
        <w:rPr>
          <w:b w:val="0"/>
          <w:color w:val="auto"/>
          <w:sz w:val="22"/>
          <w:szCs w:val="22"/>
          <w:lang w:val="en-IE"/>
        </w:rPr>
        <w:t>T</w:t>
      </w:r>
      <w:r w:rsidR="008C0E92" w:rsidRPr="00C26E53">
        <w:rPr>
          <w:b w:val="0"/>
          <w:color w:val="auto"/>
          <w:sz w:val="22"/>
          <w:szCs w:val="22"/>
          <w:lang w:val="en-IE"/>
        </w:rPr>
        <w:t>he importance of mapping and under</w:t>
      </w:r>
      <w:r w:rsidR="008C0E92">
        <w:rPr>
          <w:b w:val="0"/>
          <w:color w:val="auto"/>
          <w:sz w:val="22"/>
          <w:szCs w:val="22"/>
          <w:lang w:val="en-IE"/>
        </w:rPr>
        <w:t xml:space="preserve">standing IFI energy use </w:t>
      </w:r>
      <w:r w:rsidR="008C0E92" w:rsidRPr="00C26E53">
        <w:rPr>
          <w:b w:val="0"/>
          <w:color w:val="auto"/>
          <w:sz w:val="22"/>
          <w:szCs w:val="22"/>
          <w:lang w:val="en-IE"/>
        </w:rPr>
        <w:t>to make sure that the energy efficiency projects undertaken are based on sound</w:t>
      </w:r>
      <w:r w:rsidR="008C0E92">
        <w:rPr>
          <w:b w:val="0"/>
          <w:color w:val="auto"/>
          <w:sz w:val="22"/>
          <w:szCs w:val="22"/>
          <w:lang w:val="en-IE"/>
        </w:rPr>
        <w:t xml:space="preserve"> </w:t>
      </w:r>
      <w:r w:rsidR="008C0E92" w:rsidRPr="00C26E53">
        <w:rPr>
          <w:b w:val="0"/>
          <w:color w:val="auto"/>
          <w:sz w:val="22"/>
          <w:szCs w:val="22"/>
          <w:lang w:val="en-IE"/>
        </w:rPr>
        <w:t xml:space="preserve">data and tailored to </w:t>
      </w:r>
      <w:r w:rsidR="008C0E92">
        <w:rPr>
          <w:b w:val="0"/>
          <w:color w:val="auto"/>
          <w:sz w:val="22"/>
          <w:szCs w:val="22"/>
          <w:lang w:val="en-IE"/>
        </w:rPr>
        <w:t>our needs cannot be overstated</w:t>
      </w:r>
      <w:r w:rsidR="008C0E92" w:rsidRPr="00C26E53">
        <w:rPr>
          <w:b w:val="0"/>
          <w:color w:val="auto"/>
          <w:sz w:val="22"/>
          <w:szCs w:val="22"/>
          <w:lang w:val="en-IE"/>
        </w:rPr>
        <w:t>. Energy will be used more efficiently</w:t>
      </w:r>
      <w:r w:rsidR="008C0E92">
        <w:rPr>
          <w:b w:val="0"/>
          <w:color w:val="auto"/>
          <w:sz w:val="22"/>
          <w:szCs w:val="22"/>
          <w:lang w:val="en-IE"/>
        </w:rPr>
        <w:t xml:space="preserve"> </w:t>
      </w:r>
      <w:r w:rsidR="008C0E92" w:rsidRPr="00C26E53">
        <w:rPr>
          <w:b w:val="0"/>
          <w:color w:val="auto"/>
          <w:sz w:val="22"/>
          <w:szCs w:val="22"/>
          <w:lang w:val="en-IE"/>
        </w:rPr>
        <w:t xml:space="preserve">if the conditions to enable that more efficient use are </w:t>
      </w:r>
      <w:r w:rsidR="008C0E92">
        <w:rPr>
          <w:b w:val="0"/>
          <w:color w:val="auto"/>
          <w:sz w:val="22"/>
          <w:szCs w:val="22"/>
          <w:lang w:val="en-IE"/>
        </w:rPr>
        <w:t xml:space="preserve">first created. If a facility or </w:t>
      </w:r>
      <w:r w:rsidR="008C0E92" w:rsidRPr="00C26E53">
        <w:rPr>
          <w:b w:val="0"/>
          <w:color w:val="auto"/>
          <w:sz w:val="22"/>
          <w:szCs w:val="22"/>
          <w:lang w:val="en-IE"/>
        </w:rPr>
        <w:t>process is</w:t>
      </w:r>
      <w:r w:rsidR="008C0E92">
        <w:rPr>
          <w:b w:val="0"/>
          <w:color w:val="auto"/>
          <w:sz w:val="22"/>
          <w:szCs w:val="22"/>
          <w:lang w:val="en-IE"/>
        </w:rPr>
        <w:t xml:space="preserve"> </w:t>
      </w:r>
      <w:r w:rsidR="008C0E92" w:rsidRPr="00C26E53">
        <w:rPr>
          <w:b w:val="0"/>
          <w:color w:val="auto"/>
          <w:sz w:val="22"/>
          <w:szCs w:val="22"/>
          <w:lang w:val="en-IE"/>
        </w:rPr>
        <w:t>designed to function in an energy efficient way, or the most energy efficient equipment is</w:t>
      </w:r>
      <w:r w:rsidR="008C0E92">
        <w:rPr>
          <w:b w:val="0"/>
          <w:color w:val="auto"/>
          <w:sz w:val="22"/>
          <w:szCs w:val="22"/>
          <w:lang w:val="en-IE"/>
        </w:rPr>
        <w:t xml:space="preserve"> </w:t>
      </w:r>
      <w:r w:rsidR="008C0E92" w:rsidRPr="00C26E53">
        <w:rPr>
          <w:b w:val="0"/>
          <w:color w:val="auto"/>
          <w:sz w:val="22"/>
          <w:szCs w:val="22"/>
          <w:lang w:val="en-IE"/>
        </w:rPr>
        <w:t>acquired, th</w:t>
      </w:r>
      <w:r w:rsidR="008C0E92">
        <w:rPr>
          <w:b w:val="0"/>
          <w:color w:val="auto"/>
          <w:sz w:val="22"/>
          <w:szCs w:val="22"/>
          <w:lang w:val="en-IE"/>
        </w:rPr>
        <w:t xml:space="preserve">en the gains in terms of energy </w:t>
      </w:r>
      <w:r w:rsidR="008C0E92" w:rsidRPr="00C26E53">
        <w:rPr>
          <w:b w:val="0"/>
          <w:color w:val="auto"/>
          <w:sz w:val="22"/>
          <w:szCs w:val="22"/>
          <w:lang w:val="en-IE"/>
        </w:rPr>
        <w:t>savings and CO</w:t>
      </w:r>
      <w:r w:rsidR="008C0E92" w:rsidRPr="008C0E92">
        <w:rPr>
          <w:b w:val="0"/>
          <w:color w:val="auto"/>
          <w:sz w:val="22"/>
          <w:szCs w:val="22"/>
          <w:vertAlign w:val="subscript"/>
          <w:lang w:val="en-IE"/>
        </w:rPr>
        <w:t>2</w:t>
      </w:r>
      <w:r w:rsidR="008C0E92" w:rsidRPr="00C26E53">
        <w:rPr>
          <w:b w:val="0"/>
          <w:color w:val="auto"/>
          <w:sz w:val="22"/>
          <w:szCs w:val="22"/>
          <w:lang w:val="en-IE"/>
        </w:rPr>
        <w:t xml:space="preserve"> emission reduction at the end</w:t>
      </w:r>
      <w:r w:rsidR="008C0E92">
        <w:rPr>
          <w:b w:val="0"/>
          <w:color w:val="auto"/>
          <w:sz w:val="22"/>
          <w:szCs w:val="22"/>
          <w:lang w:val="en-IE"/>
        </w:rPr>
        <w:t xml:space="preserve"> </w:t>
      </w:r>
      <w:r w:rsidR="008C0E92" w:rsidRPr="00C26E53">
        <w:rPr>
          <w:b w:val="0"/>
          <w:color w:val="auto"/>
          <w:sz w:val="22"/>
          <w:szCs w:val="22"/>
          <w:lang w:val="en-IE"/>
        </w:rPr>
        <w:t>use point will be maximised.</w:t>
      </w:r>
      <w:r w:rsidR="008C0E92">
        <w:rPr>
          <w:b w:val="0"/>
          <w:color w:val="auto"/>
          <w:sz w:val="22"/>
          <w:szCs w:val="22"/>
          <w:lang w:val="en-IE"/>
        </w:rPr>
        <w:t xml:space="preserve"> </w:t>
      </w:r>
      <w:r w:rsidRPr="004E07A2">
        <w:rPr>
          <w:b w:val="0"/>
          <w:color w:val="auto"/>
          <w:sz w:val="22"/>
          <w:szCs w:val="22"/>
          <w:lang w:val="en-IE"/>
        </w:rPr>
        <w:t xml:space="preserve">Based on best practice and practical experience from many programmes such as the International Standards Organisation (ISO) 50001 energy management standard, the Irish Standard IS 399 (Energy Efficient Design Management), the </w:t>
      </w:r>
      <w:r w:rsidR="00D812BC" w:rsidRPr="003372D3">
        <w:rPr>
          <w:b w:val="0"/>
          <w:color w:val="auto"/>
          <w:sz w:val="22"/>
          <w:szCs w:val="22"/>
          <w:lang w:val="en-IE"/>
        </w:rPr>
        <w:t xml:space="preserve">Sustainable Authority of Ireland (SEAI) </w:t>
      </w:r>
      <w:r w:rsidRPr="004E07A2">
        <w:rPr>
          <w:b w:val="0"/>
          <w:color w:val="auto"/>
          <w:sz w:val="22"/>
          <w:szCs w:val="22"/>
          <w:lang w:val="en-IE"/>
        </w:rPr>
        <w:t xml:space="preserve">Energy MAP training programme and the SEAI Sustainable Energy Communities Scheme, </w:t>
      </w:r>
      <w:r w:rsidR="003B1C8B">
        <w:rPr>
          <w:b w:val="0"/>
          <w:color w:val="auto"/>
          <w:sz w:val="22"/>
          <w:szCs w:val="22"/>
          <w:lang w:val="en-IE"/>
        </w:rPr>
        <w:t>IFI will</w:t>
      </w:r>
      <w:r w:rsidRPr="004E07A2">
        <w:rPr>
          <w:b w:val="0"/>
          <w:color w:val="auto"/>
          <w:sz w:val="22"/>
          <w:szCs w:val="22"/>
          <w:lang w:val="en-IE"/>
        </w:rPr>
        <w:t>, as a minimum, practice these 5 basic, structured energy management steps:</w:t>
      </w:r>
    </w:p>
    <w:p w14:paraId="5D7AACF8" w14:textId="77777777" w:rsidR="00FC57B1" w:rsidRPr="004E07A2" w:rsidRDefault="00FC57B1" w:rsidP="006B1854">
      <w:pPr>
        <w:pStyle w:val="DeeStyle1"/>
        <w:rPr>
          <w:b w:val="0"/>
          <w:color w:val="auto"/>
          <w:sz w:val="22"/>
          <w:szCs w:val="22"/>
          <w:lang w:val="en-IE"/>
        </w:rPr>
      </w:pPr>
    </w:p>
    <w:p w14:paraId="5D7AACF9" w14:textId="7CC67F66" w:rsidR="00FC57B1" w:rsidRPr="004E07A2" w:rsidRDefault="006B1854" w:rsidP="003372D3">
      <w:pPr>
        <w:pStyle w:val="DeeStyle1"/>
        <w:numPr>
          <w:ilvl w:val="0"/>
          <w:numId w:val="41"/>
        </w:numPr>
        <w:rPr>
          <w:b w:val="0"/>
          <w:color w:val="auto"/>
          <w:sz w:val="22"/>
          <w:szCs w:val="22"/>
          <w:lang w:val="en-IE"/>
        </w:rPr>
      </w:pPr>
      <w:r w:rsidRPr="003B1C8B">
        <w:rPr>
          <w:color w:val="auto"/>
          <w:sz w:val="22"/>
          <w:szCs w:val="22"/>
          <w:lang w:val="en-IE"/>
        </w:rPr>
        <w:t>Commit</w:t>
      </w:r>
      <w:r w:rsidRPr="004E07A2">
        <w:rPr>
          <w:b w:val="0"/>
          <w:color w:val="auto"/>
          <w:sz w:val="22"/>
          <w:szCs w:val="22"/>
          <w:lang w:val="en-IE"/>
        </w:rPr>
        <w:t xml:space="preserve">: </w:t>
      </w:r>
      <w:r w:rsidR="003372D3" w:rsidRPr="003372D3">
        <w:rPr>
          <w:b w:val="0"/>
          <w:color w:val="auto"/>
          <w:sz w:val="22"/>
          <w:szCs w:val="22"/>
          <w:lang w:val="en-IE"/>
        </w:rPr>
        <w:t>IFI signed up to a partnership agreement with SEAI in 2017.</w:t>
      </w:r>
      <w:r w:rsidR="003372D3">
        <w:rPr>
          <w:b w:val="0"/>
          <w:color w:val="auto"/>
          <w:sz w:val="22"/>
          <w:szCs w:val="22"/>
          <w:lang w:val="en-IE"/>
        </w:rPr>
        <w:t xml:space="preserve"> IFI have a</w:t>
      </w:r>
      <w:r w:rsidRPr="004E07A2">
        <w:rPr>
          <w:b w:val="0"/>
          <w:color w:val="auto"/>
          <w:sz w:val="22"/>
          <w:szCs w:val="22"/>
          <w:lang w:val="en-IE"/>
        </w:rPr>
        <w:t>ppoint</w:t>
      </w:r>
      <w:r w:rsidR="003372D3">
        <w:rPr>
          <w:b w:val="0"/>
          <w:color w:val="auto"/>
          <w:sz w:val="22"/>
          <w:szCs w:val="22"/>
          <w:lang w:val="en-IE"/>
        </w:rPr>
        <w:t>ed</w:t>
      </w:r>
      <w:r w:rsidRPr="004E07A2">
        <w:rPr>
          <w:b w:val="0"/>
          <w:color w:val="auto"/>
          <w:sz w:val="22"/>
          <w:szCs w:val="22"/>
          <w:lang w:val="en-IE"/>
        </w:rPr>
        <w:t xml:space="preserve"> a senior manager </w:t>
      </w:r>
      <w:r w:rsidR="003B1C8B">
        <w:rPr>
          <w:b w:val="0"/>
          <w:color w:val="auto"/>
          <w:sz w:val="22"/>
          <w:szCs w:val="22"/>
          <w:lang w:val="en-IE"/>
        </w:rPr>
        <w:t xml:space="preserve">in IFI </w:t>
      </w:r>
      <w:r w:rsidRPr="004E07A2">
        <w:rPr>
          <w:b w:val="0"/>
          <w:color w:val="auto"/>
          <w:sz w:val="22"/>
          <w:szCs w:val="22"/>
          <w:lang w:val="en-IE"/>
        </w:rPr>
        <w:t xml:space="preserve">to provide leadership and accountability; </w:t>
      </w:r>
      <w:r w:rsidR="00FC57B1" w:rsidRPr="004E07A2">
        <w:rPr>
          <w:b w:val="0"/>
          <w:color w:val="auto"/>
          <w:sz w:val="22"/>
          <w:szCs w:val="22"/>
          <w:lang w:val="en-IE"/>
        </w:rPr>
        <w:t>E</w:t>
      </w:r>
      <w:r w:rsidRPr="004E07A2">
        <w:rPr>
          <w:b w:val="0"/>
          <w:color w:val="auto"/>
          <w:sz w:val="22"/>
          <w:szCs w:val="22"/>
          <w:lang w:val="en-IE"/>
        </w:rPr>
        <w:t>mpower</w:t>
      </w:r>
      <w:r w:rsidR="00FC57B1" w:rsidRPr="004E07A2">
        <w:rPr>
          <w:b w:val="0"/>
          <w:color w:val="auto"/>
          <w:sz w:val="22"/>
          <w:szCs w:val="22"/>
          <w:lang w:val="en-IE"/>
        </w:rPr>
        <w:t xml:space="preserve"> </w:t>
      </w:r>
      <w:r w:rsidR="003B1C8B">
        <w:rPr>
          <w:b w:val="0"/>
          <w:color w:val="auto"/>
          <w:sz w:val="22"/>
          <w:szCs w:val="22"/>
          <w:lang w:val="en-IE"/>
        </w:rPr>
        <w:t xml:space="preserve">IFI </w:t>
      </w:r>
      <w:r w:rsidRPr="004E07A2">
        <w:rPr>
          <w:b w:val="0"/>
          <w:color w:val="auto"/>
          <w:sz w:val="22"/>
          <w:szCs w:val="22"/>
          <w:lang w:val="en-IE"/>
        </w:rPr>
        <w:t xml:space="preserve">staff to </w:t>
      </w:r>
      <w:proofErr w:type="gramStart"/>
      <w:r w:rsidRPr="004E07A2">
        <w:rPr>
          <w:b w:val="0"/>
          <w:color w:val="auto"/>
          <w:sz w:val="22"/>
          <w:szCs w:val="22"/>
          <w:lang w:val="en-IE"/>
        </w:rPr>
        <w:t>act</w:t>
      </w:r>
      <w:r w:rsidR="00FC57B1" w:rsidRPr="004E07A2">
        <w:rPr>
          <w:b w:val="0"/>
          <w:color w:val="auto"/>
          <w:sz w:val="22"/>
          <w:szCs w:val="22"/>
          <w:lang w:val="en-IE"/>
        </w:rPr>
        <w:t>:</w:t>
      </w:r>
      <w:proofErr w:type="gramEnd"/>
      <w:r w:rsidRPr="004E07A2">
        <w:rPr>
          <w:b w:val="0"/>
          <w:color w:val="auto"/>
          <w:sz w:val="22"/>
          <w:szCs w:val="22"/>
          <w:lang w:val="en-IE"/>
        </w:rPr>
        <w:t xml:space="preserve"> choose an appropriate path to energy management or certification</w:t>
      </w:r>
      <w:r w:rsidR="00E1167A">
        <w:rPr>
          <w:b w:val="0"/>
          <w:color w:val="auto"/>
          <w:sz w:val="22"/>
          <w:szCs w:val="22"/>
          <w:lang w:val="en-IE"/>
        </w:rPr>
        <w:t>.</w:t>
      </w:r>
    </w:p>
    <w:p w14:paraId="5D7AACFA" w14:textId="77777777" w:rsidR="00FC57B1" w:rsidRPr="004E07A2" w:rsidRDefault="006B1854" w:rsidP="006B1854">
      <w:pPr>
        <w:pStyle w:val="DeeStyle1"/>
        <w:numPr>
          <w:ilvl w:val="0"/>
          <w:numId w:val="41"/>
        </w:numPr>
        <w:rPr>
          <w:b w:val="0"/>
          <w:color w:val="auto"/>
          <w:sz w:val="22"/>
          <w:szCs w:val="22"/>
          <w:lang w:val="en-IE"/>
        </w:rPr>
      </w:pPr>
      <w:r w:rsidRPr="003B1C8B">
        <w:rPr>
          <w:color w:val="auto"/>
          <w:sz w:val="22"/>
          <w:szCs w:val="22"/>
          <w:lang w:val="en-IE"/>
        </w:rPr>
        <w:lastRenderedPageBreak/>
        <w:t>Identify</w:t>
      </w:r>
      <w:r w:rsidRPr="004E07A2">
        <w:rPr>
          <w:b w:val="0"/>
          <w:color w:val="auto"/>
          <w:sz w:val="22"/>
          <w:szCs w:val="22"/>
          <w:lang w:val="en-IE"/>
        </w:rPr>
        <w:t xml:space="preserve">: work to identify actions and projects based on </w:t>
      </w:r>
      <w:r w:rsidR="003B1C8B">
        <w:rPr>
          <w:b w:val="0"/>
          <w:color w:val="auto"/>
          <w:sz w:val="22"/>
          <w:szCs w:val="22"/>
          <w:lang w:val="en-IE"/>
        </w:rPr>
        <w:t>IFI</w:t>
      </w:r>
      <w:r w:rsidRPr="004E07A2">
        <w:rPr>
          <w:b w:val="0"/>
          <w:color w:val="auto"/>
          <w:sz w:val="22"/>
          <w:szCs w:val="22"/>
          <w:lang w:val="en-IE"/>
        </w:rPr>
        <w:t xml:space="preserve"> energy performance</w:t>
      </w:r>
      <w:r w:rsidR="00FC57B1" w:rsidRPr="004E07A2">
        <w:rPr>
          <w:b w:val="0"/>
          <w:color w:val="auto"/>
          <w:sz w:val="22"/>
          <w:szCs w:val="22"/>
          <w:lang w:val="en-IE"/>
        </w:rPr>
        <w:t xml:space="preserve"> data – SEAI and OPW can assist</w:t>
      </w:r>
      <w:r w:rsidR="00E1167A">
        <w:rPr>
          <w:b w:val="0"/>
          <w:color w:val="auto"/>
          <w:sz w:val="22"/>
          <w:szCs w:val="22"/>
          <w:lang w:val="en-IE"/>
        </w:rPr>
        <w:t>.</w:t>
      </w:r>
    </w:p>
    <w:p w14:paraId="5D7AACFB" w14:textId="5B5215C2" w:rsidR="00FC57B1" w:rsidRPr="004E07A2" w:rsidRDefault="006B1854" w:rsidP="003372D3">
      <w:pPr>
        <w:pStyle w:val="DeeStyle1"/>
        <w:numPr>
          <w:ilvl w:val="0"/>
          <w:numId w:val="41"/>
        </w:numPr>
        <w:rPr>
          <w:b w:val="0"/>
          <w:color w:val="auto"/>
          <w:sz w:val="22"/>
          <w:szCs w:val="22"/>
          <w:lang w:val="en-IE"/>
        </w:rPr>
      </w:pPr>
      <w:r w:rsidRPr="003B1C8B">
        <w:rPr>
          <w:color w:val="auto"/>
          <w:sz w:val="22"/>
          <w:szCs w:val="22"/>
          <w:lang w:val="en-IE"/>
        </w:rPr>
        <w:t>Plan</w:t>
      </w:r>
      <w:r w:rsidRPr="004E07A2">
        <w:rPr>
          <w:b w:val="0"/>
          <w:color w:val="auto"/>
          <w:sz w:val="22"/>
          <w:szCs w:val="22"/>
          <w:lang w:val="en-IE"/>
        </w:rPr>
        <w:t>: avail of strategic planning assistance</w:t>
      </w:r>
      <w:r w:rsidR="003372D3" w:rsidRPr="003372D3">
        <w:t xml:space="preserve"> </w:t>
      </w:r>
      <w:r w:rsidR="003372D3" w:rsidRPr="003372D3">
        <w:rPr>
          <w:b w:val="0"/>
          <w:color w:val="auto"/>
          <w:sz w:val="22"/>
          <w:szCs w:val="22"/>
          <w:lang w:val="en-IE"/>
        </w:rPr>
        <w:t>through IFI’s partnership agreement with SEAI</w:t>
      </w:r>
      <w:r w:rsidRPr="004E07A2">
        <w:rPr>
          <w:b w:val="0"/>
          <w:color w:val="auto"/>
          <w:sz w:val="22"/>
          <w:szCs w:val="22"/>
          <w:lang w:val="en-IE"/>
        </w:rPr>
        <w:t>; build energy management capacity; integrate</w:t>
      </w:r>
      <w:r w:rsidR="00FC57B1" w:rsidRPr="004E07A2">
        <w:rPr>
          <w:b w:val="0"/>
          <w:color w:val="auto"/>
          <w:sz w:val="22"/>
          <w:szCs w:val="22"/>
          <w:lang w:val="en-IE"/>
        </w:rPr>
        <w:t xml:space="preserve"> </w:t>
      </w:r>
      <w:r w:rsidRPr="004E07A2">
        <w:rPr>
          <w:b w:val="0"/>
          <w:color w:val="auto"/>
          <w:sz w:val="22"/>
          <w:szCs w:val="22"/>
          <w:lang w:val="en-IE"/>
        </w:rPr>
        <w:t xml:space="preserve">facilities management, </w:t>
      </w:r>
      <w:proofErr w:type="gramStart"/>
      <w:r w:rsidRPr="004E07A2">
        <w:rPr>
          <w:b w:val="0"/>
          <w:color w:val="auto"/>
          <w:sz w:val="22"/>
          <w:szCs w:val="22"/>
          <w:lang w:val="en-IE"/>
        </w:rPr>
        <w:t>finance</w:t>
      </w:r>
      <w:proofErr w:type="gramEnd"/>
      <w:r w:rsidRPr="004E07A2">
        <w:rPr>
          <w:b w:val="0"/>
          <w:color w:val="auto"/>
          <w:sz w:val="22"/>
          <w:szCs w:val="22"/>
          <w:lang w:val="en-IE"/>
        </w:rPr>
        <w:t xml:space="preserve"> and human resource functions in </w:t>
      </w:r>
      <w:r w:rsidR="003B1C8B">
        <w:rPr>
          <w:b w:val="0"/>
          <w:color w:val="auto"/>
          <w:sz w:val="22"/>
          <w:szCs w:val="22"/>
          <w:lang w:val="en-IE"/>
        </w:rPr>
        <w:t>IFI’s</w:t>
      </w:r>
      <w:r w:rsidRPr="004E07A2">
        <w:rPr>
          <w:b w:val="0"/>
          <w:color w:val="auto"/>
          <w:sz w:val="22"/>
          <w:szCs w:val="22"/>
          <w:lang w:val="en-IE"/>
        </w:rPr>
        <w:t xml:space="preserve"> energy management</w:t>
      </w:r>
      <w:r w:rsidR="00FC57B1" w:rsidRPr="004E07A2">
        <w:rPr>
          <w:b w:val="0"/>
          <w:color w:val="auto"/>
          <w:sz w:val="22"/>
          <w:szCs w:val="22"/>
          <w:lang w:val="en-IE"/>
        </w:rPr>
        <w:t xml:space="preserve"> </w:t>
      </w:r>
      <w:r w:rsidRPr="004E07A2">
        <w:rPr>
          <w:b w:val="0"/>
          <w:color w:val="auto"/>
          <w:sz w:val="22"/>
          <w:szCs w:val="22"/>
          <w:lang w:val="en-IE"/>
        </w:rPr>
        <w:t>planning; set annual energy saving targets</w:t>
      </w:r>
      <w:r w:rsidR="00E1167A">
        <w:rPr>
          <w:b w:val="0"/>
          <w:color w:val="auto"/>
          <w:sz w:val="22"/>
          <w:szCs w:val="22"/>
          <w:lang w:val="en-IE"/>
        </w:rPr>
        <w:t>.</w:t>
      </w:r>
    </w:p>
    <w:p w14:paraId="5D7AACFC" w14:textId="77777777" w:rsidR="00FC57B1" w:rsidRPr="004E07A2" w:rsidRDefault="006B1854" w:rsidP="006B1854">
      <w:pPr>
        <w:pStyle w:val="DeeStyle1"/>
        <w:numPr>
          <w:ilvl w:val="0"/>
          <w:numId w:val="41"/>
        </w:numPr>
        <w:rPr>
          <w:b w:val="0"/>
          <w:color w:val="auto"/>
          <w:sz w:val="22"/>
          <w:szCs w:val="22"/>
          <w:lang w:val="en-IE"/>
        </w:rPr>
      </w:pPr>
      <w:proofErr w:type="gramStart"/>
      <w:r w:rsidRPr="003B1C8B">
        <w:rPr>
          <w:color w:val="auto"/>
          <w:sz w:val="22"/>
          <w:szCs w:val="22"/>
          <w:lang w:val="en-IE"/>
        </w:rPr>
        <w:t>Take Action</w:t>
      </w:r>
      <w:proofErr w:type="gramEnd"/>
      <w:r w:rsidRPr="004E07A2">
        <w:rPr>
          <w:b w:val="0"/>
          <w:color w:val="auto"/>
          <w:sz w:val="22"/>
          <w:szCs w:val="22"/>
          <w:lang w:val="en-IE"/>
        </w:rPr>
        <w:t>: avail of project design, development and supervision support; commit</w:t>
      </w:r>
      <w:r w:rsidR="00FC57B1" w:rsidRPr="004E07A2">
        <w:rPr>
          <w:b w:val="0"/>
          <w:color w:val="auto"/>
          <w:sz w:val="22"/>
          <w:szCs w:val="22"/>
          <w:lang w:val="en-IE"/>
        </w:rPr>
        <w:t xml:space="preserve"> </w:t>
      </w:r>
      <w:r w:rsidRPr="004E07A2">
        <w:rPr>
          <w:b w:val="0"/>
          <w:color w:val="auto"/>
          <w:sz w:val="22"/>
          <w:szCs w:val="22"/>
          <w:lang w:val="en-IE"/>
        </w:rPr>
        <w:t>to projects</w:t>
      </w:r>
      <w:r w:rsidR="00E1167A">
        <w:rPr>
          <w:b w:val="0"/>
          <w:color w:val="auto"/>
          <w:sz w:val="22"/>
          <w:szCs w:val="22"/>
          <w:lang w:val="en-IE"/>
        </w:rPr>
        <w:t>.</w:t>
      </w:r>
    </w:p>
    <w:p w14:paraId="5D7AACFD" w14:textId="021BCD36" w:rsidR="006B1854" w:rsidRPr="004E07A2" w:rsidRDefault="006B1854" w:rsidP="003372D3">
      <w:pPr>
        <w:pStyle w:val="DeeStyle1"/>
        <w:numPr>
          <w:ilvl w:val="0"/>
          <w:numId w:val="41"/>
        </w:numPr>
        <w:rPr>
          <w:b w:val="0"/>
          <w:color w:val="auto"/>
          <w:sz w:val="22"/>
          <w:szCs w:val="22"/>
          <w:lang w:val="en-IE"/>
        </w:rPr>
      </w:pPr>
      <w:r w:rsidRPr="003B1C8B">
        <w:rPr>
          <w:color w:val="auto"/>
          <w:sz w:val="22"/>
          <w:szCs w:val="22"/>
          <w:lang w:val="en-IE"/>
        </w:rPr>
        <w:t>Review</w:t>
      </w:r>
      <w:r w:rsidRPr="004E07A2">
        <w:rPr>
          <w:b w:val="0"/>
          <w:color w:val="auto"/>
          <w:sz w:val="22"/>
          <w:szCs w:val="22"/>
          <w:lang w:val="en-IE"/>
        </w:rPr>
        <w:t xml:space="preserve">: measure results </w:t>
      </w:r>
      <w:r w:rsidR="003372D3" w:rsidRPr="003372D3">
        <w:rPr>
          <w:b w:val="0"/>
          <w:color w:val="auto"/>
          <w:sz w:val="22"/>
          <w:szCs w:val="22"/>
          <w:lang w:val="en-IE"/>
        </w:rPr>
        <w:t xml:space="preserve">through </w:t>
      </w:r>
      <w:r w:rsidR="003372D3">
        <w:rPr>
          <w:b w:val="0"/>
          <w:color w:val="auto"/>
          <w:sz w:val="22"/>
          <w:szCs w:val="22"/>
          <w:lang w:val="en-IE"/>
        </w:rPr>
        <w:t xml:space="preserve">in-house systems and </w:t>
      </w:r>
      <w:r w:rsidR="003372D3" w:rsidRPr="003372D3">
        <w:rPr>
          <w:b w:val="0"/>
          <w:color w:val="auto"/>
          <w:sz w:val="22"/>
          <w:szCs w:val="22"/>
          <w:lang w:val="en-IE"/>
        </w:rPr>
        <w:t xml:space="preserve">SEAI’s energy portal monthly </w:t>
      </w:r>
      <w:r w:rsidRPr="004E07A2">
        <w:rPr>
          <w:b w:val="0"/>
          <w:color w:val="auto"/>
          <w:sz w:val="22"/>
          <w:szCs w:val="22"/>
          <w:lang w:val="en-IE"/>
        </w:rPr>
        <w:t>and continually improve energy performance</w:t>
      </w:r>
      <w:r w:rsidR="00E1167A">
        <w:rPr>
          <w:b w:val="0"/>
          <w:color w:val="auto"/>
          <w:sz w:val="22"/>
          <w:szCs w:val="22"/>
          <w:lang w:val="en-IE"/>
        </w:rPr>
        <w:t>.</w:t>
      </w:r>
    </w:p>
    <w:p w14:paraId="5D7AACFE" w14:textId="77777777" w:rsidR="00AC0E4D" w:rsidRDefault="00AC0E4D" w:rsidP="00415C9E">
      <w:pPr>
        <w:pStyle w:val="DeeStyle1"/>
        <w:rPr>
          <w:b w:val="0"/>
          <w:color w:val="auto"/>
          <w:sz w:val="22"/>
          <w:szCs w:val="22"/>
          <w:lang w:val="en-IE"/>
        </w:rPr>
      </w:pPr>
    </w:p>
    <w:p w14:paraId="5D7AACFF" w14:textId="77777777" w:rsidR="00415C9E" w:rsidRDefault="00AC0E4D" w:rsidP="00415C9E">
      <w:pPr>
        <w:pStyle w:val="DeeStyle1"/>
        <w:rPr>
          <w:b w:val="0"/>
          <w:color w:val="auto"/>
          <w:sz w:val="22"/>
          <w:szCs w:val="22"/>
          <w:lang w:val="en-IE"/>
        </w:rPr>
      </w:pPr>
      <w:r w:rsidRPr="00415C9E">
        <w:rPr>
          <w:b w:val="0"/>
          <w:color w:val="auto"/>
          <w:sz w:val="22"/>
          <w:szCs w:val="22"/>
          <w:lang w:val="en-IE"/>
        </w:rPr>
        <w:t>Energy Performance</w:t>
      </w:r>
      <w:r>
        <w:rPr>
          <w:b w:val="0"/>
          <w:color w:val="auto"/>
          <w:sz w:val="22"/>
          <w:szCs w:val="22"/>
          <w:lang w:val="en-IE"/>
        </w:rPr>
        <w:t xml:space="preserve"> </w:t>
      </w:r>
      <w:r w:rsidRPr="00415C9E">
        <w:rPr>
          <w:b w:val="0"/>
          <w:color w:val="auto"/>
          <w:sz w:val="22"/>
          <w:szCs w:val="22"/>
          <w:lang w:val="en-IE"/>
        </w:rPr>
        <w:t>Officer (EPO)</w:t>
      </w:r>
    </w:p>
    <w:p w14:paraId="5D7AAD00" w14:textId="77777777" w:rsidR="00415C9E" w:rsidRDefault="00415C9E" w:rsidP="00415C9E">
      <w:pPr>
        <w:pStyle w:val="DeeStyle1"/>
        <w:rPr>
          <w:b w:val="0"/>
          <w:color w:val="auto"/>
          <w:sz w:val="22"/>
          <w:szCs w:val="22"/>
          <w:lang w:val="en-IE"/>
        </w:rPr>
      </w:pPr>
      <w:r w:rsidRPr="00415C9E">
        <w:rPr>
          <w:b w:val="0"/>
          <w:color w:val="auto"/>
          <w:sz w:val="22"/>
          <w:szCs w:val="22"/>
          <w:lang w:val="en-IE"/>
        </w:rPr>
        <w:t>All public sector bodies must designate an Energy Performance</w:t>
      </w:r>
      <w:r>
        <w:rPr>
          <w:b w:val="0"/>
          <w:color w:val="auto"/>
          <w:sz w:val="22"/>
          <w:szCs w:val="22"/>
          <w:lang w:val="en-IE"/>
        </w:rPr>
        <w:t xml:space="preserve"> </w:t>
      </w:r>
      <w:r w:rsidRPr="00415C9E">
        <w:rPr>
          <w:b w:val="0"/>
          <w:color w:val="auto"/>
          <w:sz w:val="22"/>
          <w:szCs w:val="22"/>
          <w:lang w:val="en-IE"/>
        </w:rPr>
        <w:t>Officer (EPO) from among their senior management team.</w:t>
      </w:r>
      <w:r>
        <w:rPr>
          <w:b w:val="0"/>
          <w:color w:val="auto"/>
          <w:sz w:val="22"/>
          <w:szCs w:val="22"/>
          <w:lang w:val="en-IE"/>
        </w:rPr>
        <w:t xml:space="preserve"> </w:t>
      </w:r>
      <w:proofErr w:type="gramStart"/>
      <w:r w:rsidRPr="00415C9E">
        <w:rPr>
          <w:b w:val="0"/>
          <w:color w:val="auto"/>
          <w:sz w:val="22"/>
          <w:szCs w:val="22"/>
          <w:lang w:val="en-IE"/>
        </w:rPr>
        <w:t>In order to</w:t>
      </w:r>
      <w:proofErr w:type="gramEnd"/>
      <w:r w:rsidRPr="00415C9E">
        <w:rPr>
          <w:b w:val="0"/>
          <w:color w:val="auto"/>
          <w:sz w:val="22"/>
          <w:szCs w:val="22"/>
          <w:lang w:val="en-IE"/>
        </w:rPr>
        <w:t xml:space="preserve"> be accountable for energy management and</w:t>
      </w:r>
      <w:r>
        <w:rPr>
          <w:b w:val="0"/>
          <w:color w:val="auto"/>
          <w:sz w:val="22"/>
          <w:szCs w:val="22"/>
          <w:lang w:val="en-IE"/>
        </w:rPr>
        <w:t xml:space="preserve"> </w:t>
      </w:r>
      <w:r w:rsidRPr="00415C9E">
        <w:rPr>
          <w:b w:val="0"/>
          <w:color w:val="auto"/>
          <w:sz w:val="22"/>
          <w:szCs w:val="22"/>
          <w:lang w:val="en-IE"/>
        </w:rPr>
        <w:t>performance, the EPO should have decision making powers</w:t>
      </w:r>
      <w:r>
        <w:rPr>
          <w:b w:val="0"/>
          <w:color w:val="auto"/>
          <w:sz w:val="22"/>
          <w:szCs w:val="22"/>
          <w:lang w:val="en-IE"/>
        </w:rPr>
        <w:t xml:space="preserve"> </w:t>
      </w:r>
      <w:r w:rsidRPr="00415C9E">
        <w:rPr>
          <w:b w:val="0"/>
          <w:color w:val="auto"/>
          <w:sz w:val="22"/>
          <w:szCs w:val="22"/>
          <w:lang w:val="en-IE"/>
        </w:rPr>
        <w:t>with regard to facilities management, corporate budgets and</w:t>
      </w:r>
      <w:r>
        <w:rPr>
          <w:b w:val="0"/>
          <w:color w:val="auto"/>
          <w:sz w:val="22"/>
          <w:szCs w:val="22"/>
          <w:lang w:val="en-IE"/>
        </w:rPr>
        <w:t xml:space="preserve"> </w:t>
      </w:r>
      <w:r w:rsidRPr="00415C9E">
        <w:rPr>
          <w:b w:val="0"/>
          <w:color w:val="auto"/>
          <w:sz w:val="22"/>
          <w:szCs w:val="22"/>
          <w:lang w:val="en-IE"/>
        </w:rPr>
        <w:t>procurement, along with responsibility for corporate and</w:t>
      </w:r>
      <w:r>
        <w:rPr>
          <w:b w:val="0"/>
          <w:color w:val="auto"/>
          <w:sz w:val="22"/>
          <w:szCs w:val="22"/>
          <w:lang w:val="en-IE"/>
        </w:rPr>
        <w:t xml:space="preserve"> </w:t>
      </w:r>
      <w:r w:rsidRPr="00415C9E">
        <w:rPr>
          <w:b w:val="0"/>
          <w:color w:val="auto"/>
          <w:sz w:val="22"/>
          <w:szCs w:val="22"/>
          <w:lang w:val="en-IE"/>
        </w:rPr>
        <w:t>financial reporting, so that they can:</w:t>
      </w:r>
    </w:p>
    <w:p w14:paraId="5D7AAD01" w14:textId="77777777" w:rsidR="00415C9E" w:rsidRPr="00415C9E" w:rsidRDefault="00415C9E" w:rsidP="00415C9E">
      <w:pPr>
        <w:pStyle w:val="DeeStyle1"/>
        <w:rPr>
          <w:b w:val="0"/>
          <w:color w:val="auto"/>
          <w:sz w:val="22"/>
          <w:szCs w:val="22"/>
          <w:lang w:val="en-IE"/>
        </w:rPr>
      </w:pPr>
    </w:p>
    <w:p w14:paraId="5D7AAD02" w14:textId="77777777" w:rsidR="00415C9E" w:rsidRPr="00415C9E" w:rsidRDefault="00415C9E" w:rsidP="00415C9E">
      <w:pPr>
        <w:pStyle w:val="DeeStyle1"/>
        <w:numPr>
          <w:ilvl w:val="0"/>
          <w:numId w:val="42"/>
        </w:numPr>
        <w:rPr>
          <w:b w:val="0"/>
          <w:color w:val="auto"/>
          <w:sz w:val="22"/>
          <w:szCs w:val="22"/>
          <w:lang w:val="en-IE"/>
        </w:rPr>
      </w:pPr>
      <w:r w:rsidRPr="00415C9E">
        <w:rPr>
          <w:b w:val="0"/>
          <w:color w:val="auto"/>
          <w:sz w:val="22"/>
          <w:szCs w:val="22"/>
          <w:lang w:val="en-IE"/>
        </w:rPr>
        <w:t>Lead the development of their organisation’s Energy</w:t>
      </w:r>
      <w:r>
        <w:rPr>
          <w:b w:val="0"/>
          <w:color w:val="auto"/>
          <w:sz w:val="22"/>
          <w:szCs w:val="22"/>
          <w:lang w:val="en-IE"/>
        </w:rPr>
        <w:t xml:space="preserve"> </w:t>
      </w:r>
      <w:r w:rsidRPr="00415C9E">
        <w:rPr>
          <w:b w:val="0"/>
          <w:color w:val="auto"/>
          <w:sz w:val="22"/>
          <w:szCs w:val="22"/>
          <w:lang w:val="en-IE"/>
        </w:rPr>
        <w:t>Management Plan as an integral part of their organisation’s Business Planning</w:t>
      </w:r>
      <w:r>
        <w:rPr>
          <w:b w:val="0"/>
          <w:color w:val="auto"/>
          <w:sz w:val="22"/>
          <w:szCs w:val="22"/>
          <w:lang w:val="en-IE"/>
        </w:rPr>
        <w:t xml:space="preserve"> </w:t>
      </w:r>
      <w:r w:rsidRPr="00415C9E">
        <w:rPr>
          <w:b w:val="0"/>
          <w:color w:val="auto"/>
          <w:sz w:val="22"/>
          <w:szCs w:val="22"/>
          <w:lang w:val="en-IE"/>
        </w:rPr>
        <w:t>and Performance Management processes</w:t>
      </w:r>
    </w:p>
    <w:p w14:paraId="5D7AAD03" w14:textId="77777777" w:rsidR="00415C9E" w:rsidRPr="00415C9E" w:rsidRDefault="00415C9E" w:rsidP="00415C9E">
      <w:pPr>
        <w:pStyle w:val="DeeStyle1"/>
        <w:numPr>
          <w:ilvl w:val="0"/>
          <w:numId w:val="42"/>
        </w:numPr>
        <w:rPr>
          <w:b w:val="0"/>
          <w:color w:val="auto"/>
          <w:sz w:val="22"/>
          <w:szCs w:val="22"/>
          <w:lang w:val="en-IE"/>
        </w:rPr>
      </w:pPr>
      <w:r w:rsidRPr="00415C9E">
        <w:rPr>
          <w:b w:val="0"/>
          <w:color w:val="auto"/>
          <w:sz w:val="22"/>
          <w:szCs w:val="22"/>
          <w:lang w:val="en-IE"/>
        </w:rPr>
        <w:t>Drive the implementation of the actions and projects agreed under</w:t>
      </w:r>
      <w:r>
        <w:rPr>
          <w:b w:val="0"/>
          <w:color w:val="auto"/>
          <w:sz w:val="22"/>
          <w:szCs w:val="22"/>
          <w:lang w:val="en-IE"/>
        </w:rPr>
        <w:t xml:space="preserve"> </w:t>
      </w:r>
      <w:r w:rsidRPr="00415C9E">
        <w:rPr>
          <w:b w:val="0"/>
          <w:color w:val="auto"/>
          <w:sz w:val="22"/>
          <w:szCs w:val="22"/>
          <w:lang w:val="en-IE"/>
        </w:rPr>
        <w:t>the Energy Management Plan</w:t>
      </w:r>
    </w:p>
    <w:p w14:paraId="5D7AAD04" w14:textId="77777777" w:rsidR="00415C9E" w:rsidRPr="00415C9E" w:rsidRDefault="00415C9E" w:rsidP="00415C9E">
      <w:pPr>
        <w:pStyle w:val="DeeStyle1"/>
        <w:numPr>
          <w:ilvl w:val="0"/>
          <w:numId w:val="42"/>
        </w:numPr>
        <w:rPr>
          <w:b w:val="0"/>
          <w:color w:val="auto"/>
          <w:sz w:val="22"/>
          <w:szCs w:val="22"/>
          <w:lang w:val="en-IE"/>
        </w:rPr>
      </w:pPr>
      <w:r w:rsidRPr="00415C9E">
        <w:rPr>
          <w:b w:val="0"/>
          <w:color w:val="auto"/>
          <w:sz w:val="22"/>
          <w:szCs w:val="22"/>
          <w:lang w:val="en-IE"/>
        </w:rPr>
        <w:t>Assign clear responsibility for implemen</w:t>
      </w:r>
      <w:r>
        <w:rPr>
          <w:b w:val="0"/>
          <w:color w:val="auto"/>
          <w:sz w:val="22"/>
          <w:szCs w:val="22"/>
          <w:lang w:val="en-IE"/>
        </w:rPr>
        <w:t xml:space="preserve">tation of the Energy Management </w:t>
      </w:r>
      <w:r w:rsidRPr="00415C9E">
        <w:rPr>
          <w:b w:val="0"/>
          <w:color w:val="auto"/>
          <w:sz w:val="22"/>
          <w:szCs w:val="22"/>
          <w:lang w:val="en-IE"/>
        </w:rPr>
        <w:t>Plan</w:t>
      </w:r>
      <w:r>
        <w:rPr>
          <w:b w:val="0"/>
          <w:color w:val="auto"/>
          <w:sz w:val="22"/>
          <w:szCs w:val="22"/>
          <w:lang w:val="en-IE"/>
        </w:rPr>
        <w:t xml:space="preserve"> </w:t>
      </w:r>
      <w:r w:rsidRPr="00415C9E">
        <w:rPr>
          <w:b w:val="0"/>
          <w:color w:val="auto"/>
          <w:sz w:val="22"/>
          <w:szCs w:val="22"/>
          <w:lang w:val="en-IE"/>
        </w:rPr>
        <w:t>and ensure staff have the necessary training and support to carry out these tasks</w:t>
      </w:r>
    </w:p>
    <w:p w14:paraId="5D7AAD05" w14:textId="77777777" w:rsidR="00415C9E" w:rsidRPr="00415C9E" w:rsidRDefault="00415C9E" w:rsidP="00415C9E">
      <w:pPr>
        <w:pStyle w:val="DeeStyle1"/>
        <w:numPr>
          <w:ilvl w:val="0"/>
          <w:numId w:val="42"/>
        </w:numPr>
        <w:rPr>
          <w:b w:val="0"/>
          <w:color w:val="auto"/>
          <w:sz w:val="22"/>
          <w:szCs w:val="22"/>
          <w:lang w:val="en-IE"/>
        </w:rPr>
      </w:pPr>
      <w:r w:rsidRPr="00415C9E">
        <w:rPr>
          <w:b w:val="0"/>
          <w:color w:val="auto"/>
          <w:sz w:val="22"/>
          <w:szCs w:val="22"/>
          <w:lang w:val="en-IE"/>
        </w:rPr>
        <w:t>Ensure the setting of annual energy saving targets for their organisation</w:t>
      </w:r>
    </w:p>
    <w:p w14:paraId="5D7AAD06" w14:textId="77777777" w:rsidR="00415C9E" w:rsidRPr="00415C9E" w:rsidRDefault="00415C9E" w:rsidP="00415C9E">
      <w:pPr>
        <w:pStyle w:val="DeeStyle1"/>
        <w:numPr>
          <w:ilvl w:val="0"/>
          <w:numId w:val="42"/>
        </w:numPr>
        <w:rPr>
          <w:b w:val="0"/>
          <w:color w:val="auto"/>
          <w:sz w:val="22"/>
          <w:szCs w:val="22"/>
          <w:lang w:val="en-IE"/>
        </w:rPr>
      </w:pPr>
      <w:r w:rsidRPr="00415C9E">
        <w:rPr>
          <w:b w:val="0"/>
          <w:color w:val="auto"/>
          <w:sz w:val="22"/>
          <w:szCs w:val="22"/>
          <w:lang w:val="en-IE"/>
        </w:rPr>
        <w:t>Ensure the timeliness and quality of their org</w:t>
      </w:r>
      <w:r>
        <w:rPr>
          <w:b w:val="0"/>
          <w:color w:val="auto"/>
          <w:sz w:val="22"/>
          <w:szCs w:val="22"/>
          <w:lang w:val="en-IE"/>
        </w:rPr>
        <w:t xml:space="preserve">anisation’s annual data reports </w:t>
      </w:r>
      <w:r w:rsidRPr="00415C9E">
        <w:rPr>
          <w:b w:val="0"/>
          <w:color w:val="auto"/>
          <w:sz w:val="22"/>
          <w:szCs w:val="22"/>
          <w:lang w:val="en-IE"/>
        </w:rPr>
        <w:t>to</w:t>
      </w:r>
      <w:r>
        <w:rPr>
          <w:b w:val="0"/>
          <w:color w:val="auto"/>
          <w:sz w:val="22"/>
          <w:szCs w:val="22"/>
          <w:lang w:val="en-IE"/>
        </w:rPr>
        <w:t xml:space="preserve"> </w:t>
      </w:r>
      <w:r w:rsidRPr="00415C9E">
        <w:rPr>
          <w:b w:val="0"/>
          <w:color w:val="auto"/>
          <w:sz w:val="22"/>
          <w:szCs w:val="22"/>
          <w:lang w:val="en-IE"/>
        </w:rPr>
        <w:t>the SEAI Public Sector Energy Performance Monitoring &amp; Reporting System</w:t>
      </w:r>
    </w:p>
    <w:p w14:paraId="5D7AAD07" w14:textId="77777777" w:rsidR="00415C9E" w:rsidRDefault="00415C9E" w:rsidP="00415C9E">
      <w:pPr>
        <w:pStyle w:val="DeeStyle1"/>
        <w:numPr>
          <w:ilvl w:val="0"/>
          <w:numId w:val="42"/>
        </w:numPr>
        <w:rPr>
          <w:b w:val="0"/>
          <w:color w:val="auto"/>
          <w:sz w:val="22"/>
          <w:szCs w:val="22"/>
          <w:lang w:val="en-IE"/>
        </w:rPr>
      </w:pPr>
      <w:r w:rsidRPr="00415C9E">
        <w:rPr>
          <w:b w:val="0"/>
          <w:color w:val="auto"/>
          <w:sz w:val="22"/>
          <w:szCs w:val="22"/>
          <w:lang w:val="en-IE"/>
        </w:rPr>
        <w:t>Ensure timely provision of their organ</w:t>
      </w:r>
      <w:r>
        <w:rPr>
          <w:b w:val="0"/>
          <w:color w:val="auto"/>
          <w:sz w:val="22"/>
          <w:szCs w:val="22"/>
          <w:lang w:val="en-IE"/>
        </w:rPr>
        <w:t xml:space="preserve">isation’s report for the Annual </w:t>
      </w:r>
      <w:r w:rsidRPr="00415C9E">
        <w:rPr>
          <w:b w:val="0"/>
          <w:color w:val="auto"/>
          <w:sz w:val="22"/>
          <w:szCs w:val="22"/>
          <w:lang w:val="en-IE"/>
        </w:rPr>
        <w:t>Memorandum</w:t>
      </w:r>
      <w:r>
        <w:rPr>
          <w:b w:val="0"/>
          <w:color w:val="auto"/>
          <w:sz w:val="22"/>
          <w:szCs w:val="22"/>
          <w:lang w:val="en-IE"/>
        </w:rPr>
        <w:t xml:space="preserve"> </w:t>
      </w:r>
      <w:r w:rsidRPr="00415C9E">
        <w:rPr>
          <w:b w:val="0"/>
          <w:color w:val="auto"/>
          <w:sz w:val="22"/>
          <w:szCs w:val="22"/>
          <w:lang w:val="en-IE"/>
        </w:rPr>
        <w:t>to Government on the implementation of this Strategy</w:t>
      </w:r>
    </w:p>
    <w:p w14:paraId="5D7AAD08" w14:textId="77777777" w:rsidR="00FC57B1" w:rsidRPr="004E07A2" w:rsidRDefault="00415C9E" w:rsidP="00415C9E">
      <w:pPr>
        <w:pStyle w:val="DeeStyle1"/>
        <w:numPr>
          <w:ilvl w:val="0"/>
          <w:numId w:val="42"/>
        </w:numPr>
        <w:rPr>
          <w:b w:val="0"/>
          <w:color w:val="auto"/>
          <w:sz w:val="22"/>
          <w:szCs w:val="22"/>
          <w:lang w:val="en-IE"/>
        </w:rPr>
      </w:pPr>
      <w:r w:rsidRPr="00415C9E">
        <w:rPr>
          <w:b w:val="0"/>
          <w:color w:val="auto"/>
          <w:sz w:val="22"/>
          <w:szCs w:val="22"/>
          <w:lang w:val="en-IE"/>
        </w:rPr>
        <w:lastRenderedPageBreak/>
        <w:t>Include these tasks as part of annual goal setting under PMDS</w:t>
      </w:r>
    </w:p>
    <w:p w14:paraId="5D7AAD09" w14:textId="77777777" w:rsidR="00415C9E" w:rsidRDefault="00415C9E" w:rsidP="00E1167A">
      <w:pPr>
        <w:pStyle w:val="DeeStyle1"/>
        <w:rPr>
          <w:b w:val="0"/>
          <w:color w:val="auto"/>
          <w:sz w:val="22"/>
          <w:szCs w:val="22"/>
          <w:lang w:val="en-IE"/>
        </w:rPr>
      </w:pPr>
    </w:p>
    <w:p w14:paraId="707F632C" w14:textId="77777777" w:rsidR="003372D3" w:rsidRDefault="00E1167A" w:rsidP="00E1167A">
      <w:pPr>
        <w:pStyle w:val="DeeStyle1"/>
        <w:rPr>
          <w:b w:val="0"/>
          <w:color w:val="auto"/>
          <w:sz w:val="22"/>
          <w:szCs w:val="22"/>
          <w:lang w:val="en-IE"/>
        </w:rPr>
      </w:pPr>
      <w:r>
        <w:rPr>
          <w:b w:val="0"/>
          <w:color w:val="auto"/>
          <w:sz w:val="22"/>
          <w:szCs w:val="22"/>
          <w:lang w:val="en-IE"/>
        </w:rPr>
        <w:t>M</w:t>
      </w:r>
      <w:r w:rsidRPr="00E1167A">
        <w:rPr>
          <w:b w:val="0"/>
          <w:color w:val="auto"/>
          <w:sz w:val="22"/>
          <w:szCs w:val="22"/>
          <w:lang w:val="en-IE"/>
        </w:rPr>
        <w:t>aking energy efficiency the norm is ultimately</w:t>
      </w:r>
      <w:r>
        <w:rPr>
          <w:b w:val="0"/>
          <w:color w:val="auto"/>
          <w:sz w:val="22"/>
          <w:szCs w:val="22"/>
          <w:lang w:val="en-IE"/>
        </w:rPr>
        <w:t xml:space="preserve"> </w:t>
      </w:r>
      <w:r w:rsidRPr="00E1167A">
        <w:rPr>
          <w:b w:val="0"/>
          <w:color w:val="auto"/>
          <w:sz w:val="22"/>
          <w:szCs w:val="22"/>
          <w:lang w:val="en-IE"/>
        </w:rPr>
        <w:t>dependent on changing mind-sets and behaviours. I</w:t>
      </w:r>
      <w:r>
        <w:rPr>
          <w:b w:val="0"/>
          <w:color w:val="auto"/>
          <w:sz w:val="22"/>
          <w:szCs w:val="22"/>
          <w:lang w:val="en-IE"/>
        </w:rPr>
        <w:t xml:space="preserve">FI </w:t>
      </w:r>
      <w:r w:rsidRPr="00E1167A">
        <w:rPr>
          <w:b w:val="0"/>
          <w:color w:val="auto"/>
          <w:sz w:val="22"/>
          <w:szCs w:val="22"/>
          <w:lang w:val="en-IE"/>
        </w:rPr>
        <w:t xml:space="preserve">management </w:t>
      </w:r>
      <w:r>
        <w:rPr>
          <w:b w:val="0"/>
          <w:color w:val="auto"/>
          <w:sz w:val="22"/>
          <w:szCs w:val="22"/>
          <w:lang w:val="en-IE"/>
        </w:rPr>
        <w:t>must</w:t>
      </w:r>
      <w:r w:rsidRPr="00E1167A">
        <w:rPr>
          <w:b w:val="0"/>
          <w:color w:val="auto"/>
          <w:sz w:val="22"/>
          <w:szCs w:val="22"/>
          <w:lang w:val="en-IE"/>
        </w:rPr>
        <w:t xml:space="preserve"> optimise the conditions for efficient use of energy by their teams</w:t>
      </w:r>
      <w:r>
        <w:rPr>
          <w:b w:val="0"/>
          <w:color w:val="auto"/>
          <w:sz w:val="22"/>
          <w:szCs w:val="22"/>
          <w:lang w:val="en-IE"/>
        </w:rPr>
        <w:t>. This</w:t>
      </w:r>
      <w:r w:rsidRPr="00E1167A">
        <w:rPr>
          <w:b w:val="0"/>
          <w:color w:val="auto"/>
          <w:sz w:val="22"/>
          <w:szCs w:val="22"/>
          <w:lang w:val="en-IE"/>
        </w:rPr>
        <w:t xml:space="preserve"> will</w:t>
      </w:r>
      <w:r>
        <w:rPr>
          <w:b w:val="0"/>
          <w:color w:val="auto"/>
          <w:sz w:val="22"/>
          <w:szCs w:val="22"/>
          <w:lang w:val="en-IE"/>
        </w:rPr>
        <w:t xml:space="preserve"> </w:t>
      </w:r>
      <w:r w:rsidRPr="00E1167A">
        <w:rPr>
          <w:b w:val="0"/>
          <w:color w:val="auto"/>
          <w:sz w:val="22"/>
          <w:szCs w:val="22"/>
          <w:lang w:val="en-IE"/>
        </w:rPr>
        <w:t xml:space="preserve">build evidence for </w:t>
      </w:r>
      <w:r w:rsidR="00CB2049">
        <w:rPr>
          <w:b w:val="0"/>
          <w:color w:val="auto"/>
          <w:sz w:val="22"/>
          <w:szCs w:val="22"/>
          <w:lang w:val="en-IE"/>
        </w:rPr>
        <w:t>IFI</w:t>
      </w:r>
      <w:r>
        <w:rPr>
          <w:b w:val="0"/>
          <w:color w:val="auto"/>
          <w:sz w:val="22"/>
          <w:szCs w:val="22"/>
          <w:lang w:val="en-IE"/>
        </w:rPr>
        <w:t xml:space="preserve"> team members</w:t>
      </w:r>
      <w:r w:rsidRPr="00E1167A">
        <w:rPr>
          <w:b w:val="0"/>
          <w:color w:val="auto"/>
          <w:sz w:val="22"/>
          <w:szCs w:val="22"/>
          <w:lang w:val="en-IE"/>
        </w:rPr>
        <w:t xml:space="preserve"> that their actions make a difference, and that energy</w:t>
      </w:r>
      <w:r>
        <w:rPr>
          <w:b w:val="0"/>
          <w:color w:val="auto"/>
          <w:sz w:val="22"/>
          <w:szCs w:val="22"/>
          <w:lang w:val="en-IE"/>
        </w:rPr>
        <w:t xml:space="preserve"> </w:t>
      </w:r>
      <w:r w:rsidRPr="00E1167A">
        <w:rPr>
          <w:b w:val="0"/>
          <w:color w:val="auto"/>
          <w:sz w:val="22"/>
          <w:szCs w:val="22"/>
          <w:lang w:val="en-IE"/>
        </w:rPr>
        <w:t>efficiency makes good business sense.</w:t>
      </w:r>
      <w:r>
        <w:rPr>
          <w:b w:val="0"/>
          <w:color w:val="auto"/>
          <w:sz w:val="22"/>
          <w:szCs w:val="22"/>
          <w:lang w:val="en-IE"/>
        </w:rPr>
        <w:t xml:space="preserve"> </w:t>
      </w:r>
    </w:p>
    <w:p w14:paraId="375A5919" w14:textId="77777777" w:rsidR="003372D3" w:rsidRDefault="003372D3" w:rsidP="00E1167A">
      <w:pPr>
        <w:pStyle w:val="DeeStyle1"/>
        <w:rPr>
          <w:b w:val="0"/>
          <w:color w:val="auto"/>
          <w:sz w:val="22"/>
          <w:szCs w:val="22"/>
          <w:lang w:val="en-IE"/>
        </w:rPr>
      </w:pPr>
    </w:p>
    <w:p w14:paraId="25E98DF2" w14:textId="7BCD9485" w:rsidR="003372D3" w:rsidRPr="003372D3" w:rsidRDefault="00D812BC" w:rsidP="003372D3">
      <w:pPr>
        <w:pStyle w:val="DeeStyle1"/>
        <w:rPr>
          <w:b w:val="0"/>
          <w:color w:val="auto"/>
          <w:sz w:val="22"/>
          <w:szCs w:val="22"/>
          <w:lang w:val="en-IE"/>
        </w:rPr>
      </w:pPr>
      <w:r>
        <w:rPr>
          <w:b w:val="0"/>
          <w:color w:val="auto"/>
          <w:sz w:val="22"/>
          <w:szCs w:val="22"/>
          <w:lang w:val="en-IE"/>
        </w:rPr>
        <w:t xml:space="preserve">IFI’s </w:t>
      </w:r>
      <w:r w:rsidR="003372D3" w:rsidRPr="003372D3">
        <w:rPr>
          <w:b w:val="0"/>
          <w:color w:val="auto"/>
          <w:sz w:val="22"/>
          <w:szCs w:val="22"/>
          <w:lang w:val="en-IE"/>
        </w:rPr>
        <w:t xml:space="preserve">Energy </w:t>
      </w:r>
      <w:r w:rsidRPr="003372D3">
        <w:rPr>
          <w:b w:val="0"/>
          <w:color w:val="auto"/>
          <w:sz w:val="22"/>
          <w:szCs w:val="22"/>
          <w:lang w:val="en-IE"/>
        </w:rPr>
        <w:t>Efficiency</w:t>
      </w:r>
      <w:r w:rsidR="003372D3" w:rsidRPr="003372D3">
        <w:rPr>
          <w:b w:val="0"/>
          <w:color w:val="auto"/>
          <w:sz w:val="22"/>
          <w:szCs w:val="22"/>
          <w:lang w:val="en-IE"/>
        </w:rPr>
        <w:t xml:space="preserve"> and Reduction in CO</w:t>
      </w:r>
      <w:r w:rsidR="003372D3" w:rsidRPr="003372D3">
        <w:rPr>
          <w:b w:val="0"/>
          <w:color w:val="auto"/>
          <w:sz w:val="22"/>
          <w:szCs w:val="22"/>
          <w:vertAlign w:val="subscript"/>
          <w:lang w:val="en-IE"/>
        </w:rPr>
        <w:t>2</w:t>
      </w:r>
      <w:r w:rsidR="003372D3" w:rsidRPr="003372D3">
        <w:rPr>
          <w:b w:val="0"/>
          <w:color w:val="auto"/>
          <w:sz w:val="22"/>
          <w:szCs w:val="22"/>
          <w:lang w:val="en-IE"/>
        </w:rPr>
        <w:t xml:space="preserve"> Emissions</w:t>
      </w:r>
    </w:p>
    <w:p w14:paraId="0BF7430D" w14:textId="050B504D" w:rsidR="003372D3" w:rsidRPr="003372D3" w:rsidRDefault="003372D3" w:rsidP="003372D3">
      <w:pPr>
        <w:pStyle w:val="DeeStyle1"/>
        <w:rPr>
          <w:b w:val="0"/>
          <w:color w:val="auto"/>
          <w:sz w:val="22"/>
          <w:szCs w:val="22"/>
          <w:lang w:val="en-IE"/>
        </w:rPr>
      </w:pPr>
      <w:r w:rsidRPr="003372D3">
        <w:rPr>
          <w:b w:val="0"/>
          <w:color w:val="auto"/>
          <w:sz w:val="22"/>
          <w:szCs w:val="22"/>
          <w:lang w:val="en-IE"/>
        </w:rPr>
        <w:t xml:space="preserve">IFI’s </w:t>
      </w:r>
      <w:r>
        <w:rPr>
          <w:b w:val="0"/>
          <w:color w:val="auto"/>
          <w:sz w:val="22"/>
          <w:szCs w:val="22"/>
          <w:lang w:val="en-IE"/>
        </w:rPr>
        <w:t>‘</w:t>
      </w:r>
      <w:r w:rsidRPr="003372D3">
        <w:rPr>
          <w:b w:val="0"/>
          <w:color w:val="auto"/>
          <w:sz w:val="22"/>
          <w:szCs w:val="22"/>
          <w:lang w:val="en-IE"/>
        </w:rPr>
        <w:t>Carbon Footprint</w:t>
      </w:r>
      <w:r>
        <w:rPr>
          <w:b w:val="0"/>
          <w:color w:val="auto"/>
          <w:sz w:val="22"/>
          <w:szCs w:val="22"/>
          <w:lang w:val="en-IE"/>
        </w:rPr>
        <w:t>’</w:t>
      </w:r>
      <w:r w:rsidRPr="003372D3">
        <w:rPr>
          <w:b w:val="0"/>
          <w:color w:val="auto"/>
          <w:sz w:val="22"/>
          <w:szCs w:val="22"/>
          <w:lang w:val="en-IE"/>
        </w:rPr>
        <w:t xml:space="preserve"> </w:t>
      </w:r>
      <w:r>
        <w:rPr>
          <w:b w:val="0"/>
          <w:color w:val="auto"/>
          <w:sz w:val="22"/>
          <w:szCs w:val="22"/>
          <w:lang w:val="en-IE"/>
        </w:rPr>
        <w:t>relates</w:t>
      </w:r>
      <w:r w:rsidRPr="003372D3">
        <w:rPr>
          <w:b w:val="0"/>
          <w:color w:val="auto"/>
          <w:sz w:val="22"/>
          <w:szCs w:val="22"/>
          <w:lang w:val="en-IE"/>
        </w:rPr>
        <w:t xml:space="preserve"> </w:t>
      </w:r>
      <w:r>
        <w:rPr>
          <w:b w:val="0"/>
          <w:color w:val="auto"/>
          <w:sz w:val="22"/>
          <w:szCs w:val="22"/>
          <w:lang w:val="en-IE"/>
        </w:rPr>
        <w:t xml:space="preserve">both to </w:t>
      </w:r>
      <w:r w:rsidRPr="003372D3">
        <w:rPr>
          <w:b w:val="0"/>
          <w:color w:val="auto"/>
          <w:sz w:val="22"/>
          <w:szCs w:val="22"/>
          <w:lang w:val="en-IE"/>
        </w:rPr>
        <w:t xml:space="preserve">direct </w:t>
      </w:r>
      <w:r>
        <w:rPr>
          <w:b w:val="0"/>
          <w:color w:val="auto"/>
          <w:sz w:val="22"/>
          <w:szCs w:val="22"/>
          <w:lang w:val="en-IE"/>
        </w:rPr>
        <w:t xml:space="preserve">and indirect </w:t>
      </w:r>
      <w:r w:rsidRPr="003372D3">
        <w:rPr>
          <w:b w:val="0"/>
          <w:color w:val="auto"/>
          <w:sz w:val="22"/>
          <w:szCs w:val="22"/>
          <w:lang w:val="en-IE"/>
        </w:rPr>
        <w:t xml:space="preserve">greenhouse gas (GHG) emissions. Direct </w:t>
      </w:r>
      <w:r w:rsidR="00D812BC">
        <w:rPr>
          <w:b w:val="0"/>
          <w:color w:val="auto"/>
          <w:sz w:val="22"/>
          <w:szCs w:val="22"/>
          <w:lang w:val="en-IE"/>
        </w:rPr>
        <w:t>GHGs</w:t>
      </w:r>
      <w:r w:rsidRPr="003372D3">
        <w:rPr>
          <w:b w:val="0"/>
          <w:color w:val="auto"/>
          <w:sz w:val="22"/>
          <w:szCs w:val="22"/>
          <w:lang w:val="en-IE"/>
        </w:rPr>
        <w:t xml:space="preserve"> </w:t>
      </w:r>
      <w:r w:rsidR="00D812BC">
        <w:rPr>
          <w:b w:val="0"/>
          <w:color w:val="auto"/>
          <w:sz w:val="22"/>
          <w:szCs w:val="22"/>
          <w:lang w:val="en-IE"/>
        </w:rPr>
        <w:t>are generated</w:t>
      </w:r>
      <w:r w:rsidRPr="003372D3">
        <w:rPr>
          <w:b w:val="0"/>
          <w:color w:val="auto"/>
          <w:sz w:val="22"/>
          <w:szCs w:val="22"/>
          <w:lang w:val="en-IE"/>
        </w:rPr>
        <w:t xml:space="preserve"> from sources that are owned or controlled by the organisation</w:t>
      </w:r>
      <w:r>
        <w:rPr>
          <w:b w:val="0"/>
          <w:color w:val="auto"/>
          <w:sz w:val="22"/>
          <w:szCs w:val="22"/>
          <w:lang w:val="en-IE"/>
        </w:rPr>
        <w:t xml:space="preserve"> -</w:t>
      </w:r>
      <w:r w:rsidRPr="003372D3">
        <w:rPr>
          <w:b w:val="0"/>
          <w:color w:val="auto"/>
          <w:sz w:val="22"/>
          <w:szCs w:val="22"/>
          <w:lang w:val="en-IE"/>
        </w:rPr>
        <w:t xml:space="preserve"> for example these would include emissions from combustion in transport and natural gas fired boilers</w:t>
      </w:r>
      <w:r w:rsidR="00D812BC">
        <w:rPr>
          <w:b w:val="0"/>
          <w:color w:val="auto"/>
          <w:sz w:val="22"/>
          <w:szCs w:val="22"/>
          <w:lang w:val="en-IE"/>
        </w:rPr>
        <w:t xml:space="preserve"> in property management</w:t>
      </w:r>
      <w:r w:rsidRPr="003372D3">
        <w:rPr>
          <w:b w:val="0"/>
          <w:color w:val="auto"/>
          <w:sz w:val="22"/>
          <w:szCs w:val="22"/>
          <w:lang w:val="en-IE"/>
        </w:rPr>
        <w:t xml:space="preserve">. Indirect </w:t>
      </w:r>
      <w:r>
        <w:rPr>
          <w:b w:val="0"/>
          <w:color w:val="auto"/>
          <w:sz w:val="22"/>
          <w:szCs w:val="22"/>
          <w:lang w:val="en-IE"/>
        </w:rPr>
        <w:t>GHG</w:t>
      </w:r>
      <w:r w:rsidRPr="003372D3">
        <w:rPr>
          <w:b w:val="0"/>
          <w:color w:val="auto"/>
          <w:sz w:val="22"/>
          <w:szCs w:val="22"/>
          <w:lang w:val="en-IE"/>
        </w:rPr>
        <w:t xml:space="preserve"> emissions occur </w:t>
      </w:r>
      <w:r w:rsidR="00D812BC">
        <w:rPr>
          <w:b w:val="0"/>
          <w:color w:val="auto"/>
          <w:sz w:val="22"/>
          <w:szCs w:val="22"/>
          <w:lang w:val="en-IE"/>
        </w:rPr>
        <w:t>as a result of</w:t>
      </w:r>
      <w:r w:rsidRPr="003372D3">
        <w:rPr>
          <w:b w:val="0"/>
          <w:color w:val="auto"/>
          <w:sz w:val="22"/>
          <w:szCs w:val="22"/>
          <w:lang w:val="en-IE"/>
        </w:rPr>
        <w:t xml:space="preserve"> the generation of purchased electricity co</w:t>
      </w:r>
      <w:r w:rsidR="00D812BC">
        <w:rPr>
          <w:b w:val="0"/>
          <w:color w:val="auto"/>
          <w:sz w:val="22"/>
          <w:szCs w:val="22"/>
          <w:lang w:val="en-IE"/>
        </w:rPr>
        <w:t>nsumed by the organisation (</w:t>
      </w:r>
      <w:proofErr w:type="gramStart"/>
      <w:r w:rsidR="00D812BC">
        <w:rPr>
          <w:b w:val="0"/>
          <w:color w:val="auto"/>
          <w:sz w:val="22"/>
          <w:szCs w:val="22"/>
          <w:lang w:val="en-IE"/>
        </w:rPr>
        <w:t>i.e.</w:t>
      </w:r>
      <w:proofErr w:type="gramEnd"/>
      <w:r w:rsidR="00D812BC">
        <w:rPr>
          <w:b w:val="0"/>
          <w:color w:val="auto"/>
          <w:sz w:val="22"/>
          <w:szCs w:val="22"/>
          <w:lang w:val="en-IE"/>
        </w:rPr>
        <w:t xml:space="preserve"> </w:t>
      </w:r>
      <w:r w:rsidRPr="003372D3">
        <w:rPr>
          <w:b w:val="0"/>
          <w:color w:val="auto"/>
          <w:sz w:val="22"/>
          <w:szCs w:val="22"/>
          <w:lang w:val="en-IE"/>
        </w:rPr>
        <w:t xml:space="preserve">emissions </w:t>
      </w:r>
      <w:r w:rsidR="00D812BC">
        <w:rPr>
          <w:b w:val="0"/>
          <w:color w:val="auto"/>
          <w:sz w:val="22"/>
          <w:szCs w:val="22"/>
          <w:lang w:val="en-IE"/>
        </w:rPr>
        <w:t xml:space="preserve">due to </w:t>
      </w:r>
      <w:r w:rsidRPr="003372D3">
        <w:rPr>
          <w:b w:val="0"/>
          <w:color w:val="auto"/>
          <w:sz w:val="22"/>
          <w:szCs w:val="22"/>
          <w:lang w:val="en-IE"/>
        </w:rPr>
        <w:t xml:space="preserve">electricity </w:t>
      </w:r>
      <w:r w:rsidR="00D812BC">
        <w:rPr>
          <w:b w:val="0"/>
          <w:color w:val="auto"/>
          <w:sz w:val="22"/>
          <w:szCs w:val="22"/>
          <w:lang w:val="en-IE"/>
        </w:rPr>
        <w:t>generation)</w:t>
      </w:r>
      <w:r w:rsidRPr="003372D3">
        <w:rPr>
          <w:b w:val="0"/>
          <w:color w:val="auto"/>
          <w:sz w:val="22"/>
          <w:szCs w:val="22"/>
          <w:lang w:val="en-IE"/>
        </w:rPr>
        <w:t>.</w:t>
      </w:r>
    </w:p>
    <w:p w14:paraId="18C7B4D8" w14:textId="77777777" w:rsidR="00D812BC" w:rsidRDefault="00D812BC" w:rsidP="003372D3">
      <w:pPr>
        <w:pStyle w:val="DeeStyle1"/>
        <w:rPr>
          <w:b w:val="0"/>
          <w:color w:val="auto"/>
          <w:sz w:val="22"/>
          <w:szCs w:val="22"/>
          <w:lang w:val="en-IE"/>
        </w:rPr>
      </w:pPr>
    </w:p>
    <w:p w14:paraId="0ABC5E2B" w14:textId="56197754" w:rsidR="003372D3" w:rsidRPr="003372D3" w:rsidRDefault="003372D3" w:rsidP="003372D3">
      <w:pPr>
        <w:pStyle w:val="DeeStyle1"/>
        <w:rPr>
          <w:b w:val="0"/>
          <w:color w:val="auto"/>
          <w:sz w:val="22"/>
          <w:szCs w:val="22"/>
          <w:lang w:val="en-IE"/>
        </w:rPr>
      </w:pPr>
      <w:r w:rsidRPr="003372D3">
        <w:rPr>
          <w:b w:val="0"/>
          <w:color w:val="auto"/>
          <w:sz w:val="22"/>
          <w:szCs w:val="22"/>
          <w:lang w:val="en-IE"/>
        </w:rPr>
        <w:t xml:space="preserve">The National Energy Efficiency Action Plan sets a target for the public sector to improve its energy efficiency by 33% </w:t>
      </w:r>
      <w:r w:rsidR="00D812BC">
        <w:rPr>
          <w:b w:val="0"/>
          <w:color w:val="auto"/>
          <w:sz w:val="22"/>
          <w:szCs w:val="22"/>
          <w:lang w:val="en-IE"/>
        </w:rPr>
        <w:t xml:space="preserve">with a deadline of 2020. The Public Sector is expected to </w:t>
      </w:r>
      <w:r w:rsidRPr="003372D3">
        <w:rPr>
          <w:b w:val="0"/>
          <w:color w:val="auto"/>
          <w:sz w:val="22"/>
          <w:szCs w:val="22"/>
          <w:lang w:val="en-IE"/>
        </w:rPr>
        <w:t>play a</w:t>
      </w:r>
      <w:r w:rsidR="00D812BC">
        <w:rPr>
          <w:b w:val="0"/>
          <w:color w:val="auto"/>
          <w:sz w:val="22"/>
          <w:szCs w:val="22"/>
          <w:lang w:val="en-IE"/>
        </w:rPr>
        <w:t xml:space="preserve">n increasingly </w:t>
      </w:r>
      <w:proofErr w:type="gramStart"/>
      <w:r w:rsidR="00D812BC">
        <w:rPr>
          <w:b w:val="0"/>
          <w:color w:val="auto"/>
          <w:sz w:val="22"/>
          <w:szCs w:val="22"/>
          <w:lang w:val="en-IE"/>
        </w:rPr>
        <w:t>high profile</w:t>
      </w:r>
      <w:proofErr w:type="gramEnd"/>
      <w:r w:rsidR="00D812BC">
        <w:rPr>
          <w:b w:val="0"/>
          <w:color w:val="auto"/>
          <w:sz w:val="22"/>
          <w:szCs w:val="22"/>
          <w:lang w:val="en-IE"/>
        </w:rPr>
        <w:t xml:space="preserve"> leadership</w:t>
      </w:r>
      <w:r w:rsidRPr="003372D3">
        <w:rPr>
          <w:b w:val="0"/>
          <w:color w:val="auto"/>
          <w:sz w:val="22"/>
          <w:szCs w:val="22"/>
          <w:lang w:val="en-IE"/>
        </w:rPr>
        <w:t xml:space="preserve"> role in </w:t>
      </w:r>
      <w:r w:rsidR="00D812BC">
        <w:rPr>
          <w:b w:val="0"/>
          <w:color w:val="auto"/>
          <w:sz w:val="22"/>
          <w:szCs w:val="22"/>
          <w:lang w:val="en-IE"/>
        </w:rPr>
        <w:t>the areas of</w:t>
      </w:r>
      <w:r w:rsidRPr="003372D3">
        <w:rPr>
          <w:b w:val="0"/>
          <w:color w:val="auto"/>
          <w:sz w:val="22"/>
          <w:szCs w:val="22"/>
          <w:lang w:val="en-IE"/>
        </w:rPr>
        <w:t xml:space="preserve"> energy efficiency and carbon emissions</w:t>
      </w:r>
      <w:r w:rsidR="00D812BC" w:rsidRPr="00D812BC">
        <w:rPr>
          <w:b w:val="0"/>
          <w:color w:val="auto"/>
          <w:sz w:val="22"/>
          <w:szCs w:val="22"/>
          <w:lang w:val="en-IE"/>
        </w:rPr>
        <w:t xml:space="preserve"> </w:t>
      </w:r>
      <w:r w:rsidR="00D812BC" w:rsidRPr="003372D3">
        <w:rPr>
          <w:b w:val="0"/>
          <w:color w:val="auto"/>
          <w:sz w:val="22"/>
          <w:szCs w:val="22"/>
          <w:lang w:val="en-IE"/>
        </w:rPr>
        <w:t>reduc</w:t>
      </w:r>
      <w:r w:rsidR="00D812BC">
        <w:rPr>
          <w:b w:val="0"/>
          <w:color w:val="auto"/>
          <w:sz w:val="22"/>
          <w:szCs w:val="22"/>
          <w:lang w:val="en-IE"/>
        </w:rPr>
        <w:t>tion</w:t>
      </w:r>
      <w:r w:rsidR="00422DBD">
        <w:rPr>
          <w:b w:val="0"/>
          <w:color w:val="auto"/>
          <w:sz w:val="22"/>
          <w:szCs w:val="22"/>
          <w:lang w:val="en-IE"/>
        </w:rPr>
        <w:t xml:space="preserve"> not to mention in the broader area of climate action.  All public bodies </w:t>
      </w:r>
      <w:r w:rsidRPr="003372D3">
        <w:rPr>
          <w:b w:val="0"/>
          <w:color w:val="auto"/>
          <w:sz w:val="22"/>
          <w:szCs w:val="22"/>
          <w:lang w:val="en-IE"/>
        </w:rPr>
        <w:t>are required to report detailed energy data on an annual basis using the SEAI online Monitoring &amp; Reporting (M&amp;R) System</w:t>
      </w:r>
      <w:r w:rsidR="00D812BC">
        <w:rPr>
          <w:b w:val="0"/>
          <w:color w:val="auto"/>
          <w:sz w:val="22"/>
          <w:szCs w:val="22"/>
          <w:lang w:val="en-IE"/>
        </w:rPr>
        <w:t>. These data</w:t>
      </w:r>
      <w:r w:rsidRPr="003372D3">
        <w:rPr>
          <w:b w:val="0"/>
          <w:color w:val="auto"/>
          <w:sz w:val="22"/>
          <w:szCs w:val="22"/>
          <w:lang w:val="en-IE"/>
        </w:rPr>
        <w:t xml:space="preserve"> </w:t>
      </w:r>
      <w:r w:rsidR="00D812BC">
        <w:rPr>
          <w:b w:val="0"/>
          <w:color w:val="auto"/>
          <w:sz w:val="22"/>
          <w:szCs w:val="22"/>
          <w:lang w:val="en-IE"/>
        </w:rPr>
        <w:t>are</w:t>
      </w:r>
      <w:r w:rsidRPr="003372D3">
        <w:rPr>
          <w:b w:val="0"/>
          <w:color w:val="auto"/>
          <w:sz w:val="22"/>
          <w:szCs w:val="22"/>
          <w:lang w:val="en-IE"/>
        </w:rPr>
        <w:t xml:space="preserve"> used to track progress towards the 2020 energy efficiency </w:t>
      </w:r>
      <w:r w:rsidR="00D812BC">
        <w:rPr>
          <w:b w:val="0"/>
          <w:color w:val="auto"/>
          <w:sz w:val="22"/>
          <w:szCs w:val="22"/>
          <w:lang w:val="en-IE"/>
        </w:rPr>
        <w:t xml:space="preserve">reduction </w:t>
      </w:r>
      <w:r w:rsidRPr="003372D3">
        <w:rPr>
          <w:b w:val="0"/>
          <w:color w:val="auto"/>
          <w:sz w:val="22"/>
          <w:szCs w:val="22"/>
          <w:lang w:val="en-IE"/>
        </w:rPr>
        <w:t>target of 33%.</w:t>
      </w:r>
    </w:p>
    <w:p w14:paraId="7775500A" w14:textId="77777777" w:rsidR="003372D3" w:rsidRPr="003372D3" w:rsidRDefault="003372D3" w:rsidP="003372D3">
      <w:pPr>
        <w:pStyle w:val="DeeStyle1"/>
        <w:rPr>
          <w:b w:val="0"/>
          <w:color w:val="auto"/>
          <w:sz w:val="22"/>
          <w:szCs w:val="22"/>
          <w:lang w:val="en-IE"/>
        </w:rPr>
      </w:pPr>
    </w:p>
    <w:p w14:paraId="267416FA" w14:textId="310864E2" w:rsidR="003372D3" w:rsidRDefault="003372D3" w:rsidP="003372D3">
      <w:pPr>
        <w:pStyle w:val="DeeStyle1"/>
        <w:rPr>
          <w:b w:val="0"/>
          <w:color w:val="auto"/>
          <w:sz w:val="22"/>
          <w:szCs w:val="22"/>
          <w:lang w:val="en-IE"/>
        </w:rPr>
      </w:pPr>
      <w:r w:rsidRPr="003372D3">
        <w:rPr>
          <w:b w:val="0"/>
          <w:color w:val="auto"/>
          <w:sz w:val="22"/>
          <w:szCs w:val="22"/>
          <w:lang w:val="en-IE"/>
        </w:rPr>
        <w:t xml:space="preserve">IFI have selected </w:t>
      </w:r>
      <w:r w:rsidR="00D812BC" w:rsidRPr="003372D3">
        <w:rPr>
          <w:b w:val="0"/>
          <w:color w:val="auto"/>
          <w:sz w:val="22"/>
          <w:szCs w:val="22"/>
          <w:lang w:val="en-IE"/>
        </w:rPr>
        <w:t>2009</w:t>
      </w:r>
      <w:r w:rsidR="00D812BC">
        <w:rPr>
          <w:b w:val="0"/>
          <w:color w:val="auto"/>
          <w:sz w:val="22"/>
          <w:szCs w:val="22"/>
          <w:lang w:val="en-IE"/>
        </w:rPr>
        <w:t xml:space="preserve"> as </w:t>
      </w:r>
      <w:r w:rsidRPr="003372D3">
        <w:rPr>
          <w:b w:val="0"/>
          <w:color w:val="auto"/>
          <w:sz w:val="22"/>
          <w:szCs w:val="22"/>
          <w:lang w:val="en-IE"/>
        </w:rPr>
        <w:t xml:space="preserve">the baseline year </w:t>
      </w:r>
      <w:r w:rsidR="00D812BC">
        <w:rPr>
          <w:b w:val="0"/>
          <w:color w:val="auto"/>
          <w:sz w:val="22"/>
          <w:szCs w:val="22"/>
          <w:lang w:val="en-IE"/>
        </w:rPr>
        <w:t>from which to</w:t>
      </w:r>
      <w:r w:rsidRPr="003372D3">
        <w:rPr>
          <w:b w:val="0"/>
          <w:color w:val="auto"/>
          <w:sz w:val="22"/>
          <w:szCs w:val="22"/>
          <w:lang w:val="en-IE"/>
        </w:rPr>
        <w:t xml:space="preserve"> track </w:t>
      </w:r>
      <w:r w:rsidR="00D812BC">
        <w:rPr>
          <w:b w:val="0"/>
          <w:color w:val="auto"/>
          <w:sz w:val="22"/>
          <w:szCs w:val="22"/>
          <w:lang w:val="en-IE"/>
        </w:rPr>
        <w:t xml:space="preserve">overall energy reduction </w:t>
      </w:r>
      <w:r w:rsidRPr="003372D3">
        <w:rPr>
          <w:b w:val="0"/>
          <w:color w:val="auto"/>
          <w:sz w:val="22"/>
          <w:szCs w:val="22"/>
          <w:lang w:val="en-IE"/>
        </w:rPr>
        <w:t>progress and the energy performance indicator [Primary Energy kWh / Full Time Equivalent Employees (FTEs)] to track progress for each reporting year to 2020. The overall energy efficiency saving as of 2017 for IFI is 17% since the baseline year</w:t>
      </w:r>
      <w:r w:rsidR="00D812BC">
        <w:rPr>
          <w:b w:val="0"/>
          <w:color w:val="auto"/>
          <w:sz w:val="22"/>
          <w:szCs w:val="22"/>
          <w:lang w:val="en-IE"/>
        </w:rPr>
        <w:t xml:space="preserve"> in 2009</w:t>
      </w:r>
      <w:r w:rsidRPr="003372D3">
        <w:rPr>
          <w:b w:val="0"/>
          <w:color w:val="auto"/>
          <w:sz w:val="22"/>
          <w:szCs w:val="22"/>
          <w:lang w:val="en-IE"/>
        </w:rPr>
        <w:t>.</w:t>
      </w:r>
    </w:p>
    <w:p w14:paraId="4046A262" w14:textId="77777777" w:rsidR="003372D3" w:rsidRDefault="003372D3" w:rsidP="003372D3">
      <w:pPr>
        <w:pStyle w:val="DeeStyle1"/>
        <w:rPr>
          <w:b w:val="0"/>
          <w:color w:val="auto"/>
          <w:sz w:val="22"/>
          <w:szCs w:val="22"/>
          <w:lang w:val="en-IE"/>
        </w:rPr>
      </w:pPr>
    </w:p>
    <w:p w14:paraId="5D7AAD0A" w14:textId="2A9566CB" w:rsidR="00FC57B1" w:rsidRDefault="00D812BC" w:rsidP="003372D3">
      <w:pPr>
        <w:pStyle w:val="DeeStyle1"/>
        <w:rPr>
          <w:b w:val="0"/>
          <w:color w:val="auto"/>
          <w:sz w:val="22"/>
          <w:szCs w:val="22"/>
          <w:lang w:val="en-IE"/>
        </w:rPr>
      </w:pPr>
      <w:r w:rsidRPr="00D812BC">
        <w:rPr>
          <w:b w:val="0"/>
          <w:color w:val="auto"/>
          <w:sz w:val="22"/>
          <w:szCs w:val="22"/>
          <w:lang w:val="en-IE"/>
        </w:rPr>
        <w:lastRenderedPageBreak/>
        <w:t xml:space="preserve">The </w:t>
      </w:r>
      <w:r>
        <w:rPr>
          <w:b w:val="0"/>
          <w:color w:val="auto"/>
          <w:sz w:val="22"/>
          <w:szCs w:val="22"/>
          <w:lang w:val="en-IE"/>
        </w:rPr>
        <w:t>SEAI</w:t>
      </w:r>
      <w:r w:rsidRPr="00D812BC">
        <w:rPr>
          <w:b w:val="0"/>
          <w:color w:val="auto"/>
          <w:sz w:val="22"/>
          <w:szCs w:val="22"/>
          <w:lang w:val="en-IE"/>
        </w:rPr>
        <w:t xml:space="preserve"> manages the public sector programme for energy reduction and supports the public sector in meeting this target. The supports offered are onsite energy assessments, energy efficient design</w:t>
      </w:r>
      <w:r w:rsidR="00422DBD">
        <w:rPr>
          <w:b w:val="0"/>
          <w:color w:val="auto"/>
          <w:sz w:val="22"/>
          <w:szCs w:val="22"/>
          <w:lang w:val="en-IE"/>
        </w:rPr>
        <w:t xml:space="preserve"> assistance</w:t>
      </w:r>
      <w:r w:rsidRPr="00D812BC">
        <w:rPr>
          <w:b w:val="0"/>
          <w:color w:val="auto"/>
          <w:sz w:val="22"/>
          <w:szCs w:val="22"/>
          <w:lang w:val="en-IE"/>
        </w:rPr>
        <w:t xml:space="preserve">, energy project implementation, a dedicated energy advisor, energy reporting advice and best practice guidance and networking. </w:t>
      </w:r>
      <w:r w:rsidR="00FC57B1" w:rsidRPr="004E07A2">
        <w:rPr>
          <w:b w:val="0"/>
          <w:color w:val="auto"/>
          <w:sz w:val="22"/>
          <w:szCs w:val="22"/>
          <w:lang w:val="en-IE"/>
        </w:rPr>
        <w:t>As part of this process, the SEAI developed an Energy Performance Indicator (</w:t>
      </w:r>
      <w:proofErr w:type="spellStart"/>
      <w:r w:rsidR="00FC57B1" w:rsidRPr="004E07A2">
        <w:rPr>
          <w:b w:val="0"/>
          <w:color w:val="auto"/>
          <w:sz w:val="22"/>
          <w:szCs w:val="22"/>
          <w:lang w:val="en-IE"/>
        </w:rPr>
        <w:t>EnPI</w:t>
      </w:r>
      <w:proofErr w:type="spellEnd"/>
      <w:r w:rsidR="00FC57B1" w:rsidRPr="004E07A2">
        <w:rPr>
          <w:b w:val="0"/>
          <w:color w:val="auto"/>
          <w:sz w:val="22"/>
          <w:szCs w:val="22"/>
          <w:lang w:val="en-IE"/>
        </w:rPr>
        <w:t>) to guide public sector organisations</w:t>
      </w:r>
      <w:r w:rsidR="00FC57B1" w:rsidRPr="004E07A2">
        <w:rPr>
          <w:b w:val="0"/>
          <w:color w:val="17365D"/>
          <w:szCs w:val="20"/>
          <w:lang w:val="en-IE"/>
        </w:rPr>
        <w:t xml:space="preserve"> </w:t>
      </w:r>
      <w:r w:rsidR="00FC57B1" w:rsidRPr="004E07A2">
        <w:rPr>
          <w:b w:val="0"/>
          <w:color w:val="auto"/>
          <w:sz w:val="22"/>
          <w:szCs w:val="22"/>
          <w:lang w:val="en-IE"/>
        </w:rPr>
        <w:t>towards the 2020 targets.</w:t>
      </w:r>
      <w:r w:rsidR="009C19E3">
        <w:rPr>
          <w:b w:val="0"/>
          <w:color w:val="auto"/>
          <w:sz w:val="22"/>
          <w:szCs w:val="22"/>
          <w:lang w:val="en-IE"/>
        </w:rPr>
        <w:t xml:space="preserve"> </w:t>
      </w:r>
      <w:r w:rsidR="00422DBD" w:rsidRPr="00422DBD">
        <w:rPr>
          <w:b w:val="0"/>
          <w:color w:val="auto"/>
          <w:sz w:val="22"/>
          <w:szCs w:val="22"/>
          <w:lang w:val="en-IE"/>
        </w:rPr>
        <w:t>The SEAI’s ‘Annual Report 2017 on Public Sector Energy Efficiency Performance’ rated IFI’s overall status in terms o</w:t>
      </w:r>
      <w:r w:rsidR="00422DBD">
        <w:rPr>
          <w:b w:val="0"/>
          <w:color w:val="auto"/>
          <w:sz w:val="22"/>
          <w:szCs w:val="22"/>
          <w:lang w:val="en-IE"/>
        </w:rPr>
        <w:t>f energy efficiency as ‘</w:t>
      </w:r>
      <w:r w:rsidR="00422DBD" w:rsidRPr="00422DBD">
        <w:rPr>
          <w:b w:val="0"/>
          <w:i/>
          <w:color w:val="auto"/>
          <w:sz w:val="22"/>
          <w:szCs w:val="22"/>
          <w:lang w:val="en-IE"/>
        </w:rPr>
        <w:t>14.9% better than 2016 and 17.2% better than our 2009 baseline…more efficient than 2016 baseline, but not yet on the path for meeting the 33% energy reduction by 2020 target</w:t>
      </w:r>
      <w:r w:rsidR="00422DBD" w:rsidRPr="00422DBD">
        <w:rPr>
          <w:b w:val="0"/>
          <w:color w:val="auto"/>
          <w:sz w:val="22"/>
          <w:szCs w:val="22"/>
          <w:lang w:val="en-IE"/>
        </w:rPr>
        <w:t xml:space="preserve">’. Modernisation of IFI’s fleet and the introduction of findings from energy audits will see IFI achieve its 33% energy reduction target by 2020. </w:t>
      </w:r>
      <w:r w:rsidR="009C19E3">
        <w:rPr>
          <w:b w:val="0"/>
          <w:color w:val="auto"/>
          <w:sz w:val="22"/>
          <w:szCs w:val="22"/>
          <w:lang w:val="en-IE"/>
        </w:rPr>
        <w:t xml:space="preserve">An accelerated programme of measures </w:t>
      </w:r>
      <w:r w:rsidR="00C26E53">
        <w:rPr>
          <w:b w:val="0"/>
          <w:color w:val="auto"/>
          <w:sz w:val="22"/>
          <w:szCs w:val="22"/>
          <w:lang w:val="en-IE"/>
        </w:rPr>
        <w:t>is planned to influence the use of energy in IFI with the goal of</w:t>
      </w:r>
      <w:r w:rsidR="009C19E3">
        <w:rPr>
          <w:b w:val="0"/>
          <w:color w:val="auto"/>
          <w:sz w:val="22"/>
          <w:szCs w:val="22"/>
          <w:lang w:val="en-IE"/>
        </w:rPr>
        <w:t xml:space="preserve"> </w:t>
      </w:r>
      <w:r w:rsidR="00422DBD">
        <w:rPr>
          <w:b w:val="0"/>
          <w:color w:val="auto"/>
          <w:sz w:val="22"/>
          <w:szCs w:val="22"/>
          <w:lang w:val="en-IE"/>
        </w:rPr>
        <w:t xml:space="preserve">not only </w:t>
      </w:r>
      <w:r w:rsidR="009C19E3">
        <w:rPr>
          <w:b w:val="0"/>
          <w:color w:val="auto"/>
          <w:sz w:val="22"/>
          <w:szCs w:val="22"/>
          <w:lang w:val="en-IE"/>
        </w:rPr>
        <w:t>meet</w:t>
      </w:r>
      <w:r w:rsidR="00C26E53">
        <w:rPr>
          <w:b w:val="0"/>
          <w:color w:val="auto"/>
          <w:sz w:val="22"/>
          <w:szCs w:val="22"/>
          <w:lang w:val="en-IE"/>
        </w:rPr>
        <w:t>ing</w:t>
      </w:r>
      <w:r w:rsidR="009C19E3">
        <w:rPr>
          <w:b w:val="0"/>
          <w:color w:val="auto"/>
          <w:sz w:val="22"/>
          <w:szCs w:val="22"/>
          <w:lang w:val="en-IE"/>
        </w:rPr>
        <w:t xml:space="preserve"> </w:t>
      </w:r>
      <w:r w:rsidR="00422DBD">
        <w:rPr>
          <w:b w:val="0"/>
          <w:color w:val="auto"/>
          <w:sz w:val="22"/>
          <w:szCs w:val="22"/>
          <w:lang w:val="en-IE"/>
        </w:rPr>
        <w:t>but</w:t>
      </w:r>
      <w:r w:rsidR="009C19E3">
        <w:rPr>
          <w:b w:val="0"/>
          <w:color w:val="auto"/>
          <w:sz w:val="22"/>
          <w:szCs w:val="22"/>
          <w:lang w:val="en-IE"/>
        </w:rPr>
        <w:t xml:space="preserve"> exceed</w:t>
      </w:r>
      <w:r w:rsidR="00C26E53">
        <w:rPr>
          <w:b w:val="0"/>
          <w:color w:val="auto"/>
          <w:sz w:val="22"/>
          <w:szCs w:val="22"/>
          <w:lang w:val="en-IE"/>
        </w:rPr>
        <w:t>ing</w:t>
      </w:r>
      <w:r w:rsidR="009C19E3">
        <w:rPr>
          <w:b w:val="0"/>
          <w:color w:val="auto"/>
          <w:sz w:val="22"/>
          <w:szCs w:val="22"/>
          <w:lang w:val="en-IE"/>
        </w:rPr>
        <w:t xml:space="preserve"> IFI’s 2020 targets as follows:</w:t>
      </w:r>
    </w:p>
    <w:p w14:paraId="6B27A457" w14:textId="77777777" w:rsidR="00422DBD" w:rsidRPr="004E07A2" w:rsidRDefault="00422DBD" w:rsidP="003372D3">
      <w:pPr>
        <w:pStyle w:val="DeeStyle1"/>
        <w:rPr>
          <w:b w:val="0"/>
          <w:color w:val="auto"/>
          <w:sz w:val="22"/>
          <w:szCs w:val="22"/>
          <w:lang w:val="en-IE"/>
        </w:rPr>
      </w:pPr>
    </w:p>
    <w:p w14:paraId="5D7AAD0B" w14:textId="77777777" w:rsidR="00FC57B1" w:rsidRPr="004E07A2" w:rsidRDefault="007341EE" w:rsidP="007341EE">
      <w:pPr>
        <w:pStyle w:val="DeeStyle1"/>
        <w:jc w:val="center"/>
        <w:rPr>
          <w:b w:val="0"/>
          <w:color w:val="auto"/>
          <w:sz w:val="22"/>
          <w:szCs w:val="22"/>
          <w:lang w:val="en-IE"/>
        </w:rPr>
      </w:pPr>
      <w:r>
        <w:rPr>
          <w:noProof/>
          <w:lang w:val="en-IE" w:eastAsia="en-IE"/>
        </w:rPr>
        <w:drawing>
          <wp:inline distT="0" distB="0" distL="0" distR="0" wp14:anchorId="5D7AAD77" wp14:editId="5D7AAD78">
            <wp:extent cx="4762500" cy="3467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62500" cy="3467100"/>
                    </a:xfrm>
                    <a:prstGeom prst="rect">
                      <a:avLst/>
                    </a:prstGeom>
                  </pic:spPr>
                </pic:pic>
              </a:graphicData>
            </a:graphic>
          </wp:inline>
        </w:drawing>
      </w:r>
    </w:p>
    <w:p w14:paraId="5D7AAD0C" w14:textId="77777777" w:rsidR="007341EE" w:rsidRDefault="007341EE" w:rsidP="00C26E53">
      <w:pPr>
        <w:pStyle w:val="DeeStyle1"/>
        <w:rPr>
          <w:color w:val="auto"/>
          <w:sz w:val="22"/>
          <w:szCs w:val="22"/>
          <w:lang w:val="en-IE"/>
        </w:rPr>
      </w:pPr>
    </w:p>
    <w:p w14:paraId="5D7AAD0D" w14:textId="77777777" w:rsidR="007341EE" w:rsidRDefault="007341EE" w:rsidP="00C26E53">
      <w:pPr>
        <w:pStyle w:val="DeeStyle1"/>
        <w:rPr>
          <w:color w:val="auto"/>
          <w:sz w:val="22"/>
          <w:szCs w:val="22"/>
          <w:lang w:val="en-IE"/>
        </w:rPr>
      </w:pPr>
    </w:p>
    <w:p w14:paraId="40955515" w14:textId="77777777" w:rsidR="00422DBD" w:rsidRDefault="00422DBD" w:rsidP="00C26E53">
      <w:pPr>
        <w:pStyle w:val="DeeStyle1"/>
        <w:rPr>
          <w:color w:val="auto"/>
          <w:sz w:val="22"/>
          <w:szCs w:val="22"/>
          <w:lang w:val="en-IE"/>
        </w:rPr>
      </w:pPr>
    </w:p>
    <w:p w14:paraId="5D7AAD0E" w14:textId="77777777" w:rsidR="00C26E53" w:rsidRPr="0092269E" w:rsidRDefault="00FC57B1" w:rsidP="00C26E53">
      <w:pPr>
        <w:pStyle w:val="DeeStyle1"/>
        <w:rPr>
          <w:color w:val="auto"/>
          <w:sz w:val="22"/>
          <w:szCs w:val="22"/>
          <w:lang w:val="en-IE"/>
        </w:rPr>
      </w:pPr>
      <w:r w:rsidRPr="0092269E">
        <w:rPr>
          <w:color w:val="auto"/>
          <w:sz w:val="22"/>
          <w:szCs w:val="22"/>
          <w:lang w:val="en-IE"/>
        </w:rPr>
        <w:lastRenderedPageBreak/>
        <w:t xml:space="preserve">ENERGY </w:t>
      </w:r>
      <w:r w:rsidR="00357DFD" w:rsidRPr="0092269E">
        <w:rPr>
          <w:color w:val="auto"/>
          <w:sz w:val="22"/>
          <w:szCs w:val="22"/>
          <w:lang w:val="en-IE"/>
        </w:rPr>
        <w:t>(Properties)</w:t>
      </w:r>
    </w:p>
    <w:p w14:paraId="5D7AAD0F" w14:textId="77777777" w:rsidR="00CB2049" w:rsidRDefault="00CB2049" w:rsidP="00C26E53">
      <w:pPr>
        <w:pStyle w:val="DeeStyle1"/>
        <w:rPr>
          <w:color w:val="auto"/>
          <w:sz w:val="22"/>
          <w:szCs w:val="22"/>
          <w:lang w:val="en-IE"/>
        </w:rPr>
      </w:pPr>
    </w:p>
    <w:p w14:paraId="5D7AAD10" w14:textId="77777777" w:rsidR="00C26E53" w:rsidRPr="00C26E53" w:rsidRDefault="00C26E53" w:rsidP="00C26E53">
      <w:pPr>
        <w:pStyle w:val="DeeStyle1"/>
        <w:rPr>
          <w:b w:val="0"/>
          <w:color w:val="auto"/>
          <w:sz w:val="22"/>
          <w:szCs w:val="22"/>
          <w:lang w:val="en-IE"/>
        </w:rPr>
      </w:pPr>
      <w:r w:rsidRPr="00C26E53">
        <w:rPr>
          <w:color w:val="auto"/>
          <w:sz w:val="22"/>
          <w:szCs w:val="22"/>
          <w:lang w:val="en-IE"/>
        </w:rPr>
        <w:t>Design:</w:t>
      </w:r>
      <w:r w:rsidRPr="00C26E53">
        <w:rPr>
          <w:b w:val="0"/>
          <w:color w:val="auto"/>
          <w:sz w:val="22"/>
          <w:szCs w:val="22"/>
          <w:lang w:val="en-IE"/>
        </w:rPr>
        <w:t xml:space="preserve"> when new facilities and processes are being planned and designed and when existing facilities and processes are being re-designed</w:t>
      </w:r>
    </w:p>
    <w:p w14:paraId="5D7AAD11" w14:textId="60E1F4DA" w:rsidR="00C26E53" w:rsidRPr="00C26E53" w:rsidRDefault="00C26E53" w:rsidP="00C26E53">
      <w:pPr>
        <w:pStyle w:val="DeeStyle1"/>
        <w:rPr>
          <w:b w:val="0"/>
          <w:color w:val="auto"/>
          <w:sz w:val="22"/>
          <w:szCs w:val="22"/>
          <w:lang w:val="en-IE"/>
        </w:rPr>
      </w:pPr>
      <w:r w:rsidRPr="00C26E53">
        <w:rPr>
          <w:color w:val="auto"/>
          <w:sz w:val="22"/>
          <w:szCs w:val="22"/>
          <w:lang w:val="en-IE"/>
        </w:rPr>
        <w:t>Acquisition:</w:t>
      </w:r>
      <w:r w:rsidRPr="00C26E53">
        <w:rPr>
          <w:b w:val="0"/>
          <w:color w:val="auto"/>
          <w:sz w:val="22"/>
          <w:szCs w:val="22"/>
          <w:lang w:val="en-IE"/>
        </w:rPr>
        <w:t xml:space="preserve"> when </w:t>
      </w:r>
      <w:r w:rsidR="00422DBD">
        <w:rPr>
          <w:b w:val="0"/>
          <w:color w:val="auto"/>
          <w:sz w:val="22"/>
          <w:szCs w:val="22"/>
          <w:lang w:val="en-IE"/>
        </w:rPr>
        <w:t xml:space="preserve">vehicles, </w:t>
      </w:r>
      <w:r w:rsidRPr="00C26E53">
        <w:rPr>
          <w:b w:val="0"/>
          <w:color w:val="auto"/>
          <w:sz w:val="22"/>
          <w:szCs w:val="22"/>
          <w:lang w:val="en-IE"/>
        </w:rPr>
        <w:t xml:space="preserve">equipment and facilities are being bought, </w:t>
      </w:r>
      <w:proofErr w:type="gramStart"/>
      <w:r w:rsidRPr="00C26E53">
        <w:rPr>
          <w:b w:val="0"/>
          <w:color w:val="auto"/>
          <w:sz w:val="22"/>
          <w:szCs w:val="22"/>
          <w:lang w:val="en-IE"/>
        </w:rPr>
        <w:t>upgraded</w:t>
      </w:r>
      <w:proofErr w:type="gramEnd"/>
      <w:r w:rsidRPr="00C26E53">
        <w:rPr>
          <w:b w:val="0"/>
          <w:color w:val="auto"/>
          <w:sz w:val="22"/>
          <w:szCs w:val="22"/>
          <w:lang w:val="en-IE"/>
        </w:rPr>
        <w:t xml:space="preserve"> or leased</w:t>
      </w:r>
    </w:p>
    <w:p w14:paraId="5D7AAD12" w14:textId="77777777" w:rsidR="006B1854" w:rsidRPr="00C26E53" w:rsidRDefault="00C26E53" w:rsidP="00C26E53">
      <w:pPr>
        <w:pStyle w:val="DeeStyle1"/>
        <w:rPr>
          <w:b w:val="0"/>
          <w:color w:val="auto"/>
          <w:sz w:val="22"/>
          <w:szCs w:val="22"/>
          <w:lang w:val="en-IE"/>
        </w:rPr>
      </w:pPr>
      <w:r w:rsidRPr="00C26E53">
        <w:rPr>
          <w:color w:val="auto"/>
          <w:sz w:val="22"/>
          <w:szCs w:val="22"/>
          <w:lang w:val="en-IE"/>
        </w:rPr>
        <w:t>Use:</w:t>
      </w:r>
      <w:r w:rsidRPr="00C26E53">
        <w:rPr>
          <w:b w:val="0"/>
          <w:color w:val="auto"/>
          <w:sz w:val="22"/>
          <w:szCs w:val="22"/>
          <w:lang w:val="en-IE"/>
        </w:rPr>
        <w:t xml:space="preserve"> when </w:t>
      </w:r>
      <w:r>
        <w:rPr>
          <w:b w:val="0"/>
          <w:color w:val="auto"/>
          <w:sz w:val="22"/>
          <w:szCs w:val="22"/>
          <w:lang w:val="en-IE"/>
        </w:rPr>
        <w:t>IFI</w:t>
      </w:r>
      <w:r w:rsidRPr="00C26E53">
        <w:rPr>
          <w:b w:val="0"/>
          <w:color w:val="auto"/>
          <w:sz w:val="22"/>
          <w:szCs w:val="22"/>
          <w:lang w:val="en-IE"/>
        </w:rPr>
        <w:t xml:space="preserve"> staff use energy in the course of their work</w:t>
      </w:r>
    </w:p>
    <w:p w14:paraId="5D7AAD13" w14:textId="77777777" w:rsidR="008C0E92" w:rsidRDefault="008C0E92" w:rsidP="008C0E92">
      <w:pPr>
        <w:pStyle w:val="DeeStyle1"/>
        <w:rPr>
          <w:b w:val="0"/>
          <w:color w:val="auto"/>
          <w:sz w:val="22"/>
          <w:szCs w:val="22"/>
          <w:lang w:val="en-IE"/>
        </w:rPr>
      </w:pPr>
    </w:p>
    <w:p w14:paraId="5D7AAD14" w14:textId="77777777" w:rsidR="00CB2049" w:rsidRPr="00553900" w:rsidRDefault="008C0E92" w:rsidP="00CB2049">
      <w:pPr>
        <w:pStyle w:val="DeeStyle1"/>
        <w:rPr>
          <w:b w:val="0"/>
          <w:color w:val="auto"/>
          <w:sz w:val="22"/>
          <w:szCs w:val="22"/>
          <w:lang w:val="en-IE"/>
        </w:rPr>
      </w:pPr>
      <w:r w:rsidRPr="00CB2049">
        <w:rPr>
          <w:b w:val="0"/>
          <w:color w:val="auto"/>
          <w:sz w:val="22"/>
          <w:szCs w:val="22"/>
          <w:lang w:val="en-IE"/>
        </w:rPr>
        <w:t xml:space="preserve">Building and Process Design: </w:t>
      </w:r>
      <w:r w:rsidRPr="008C0E92">
        <w:rPr>
          <w:b w:val="0"/>
          <w:color w:val="auto"/>
          <w:sz w:val="22"/>
          <w:szCs w:val="22"/>
          <w:lang w:val="en-IE"/>
        </w:rPr>
        <w:t>The greatest opportunity to reduce lifecycle energy</w:t>
      </w:r>
      <w:r>
        <w:rPr>
          <w:b w:val="0"/>
          <w:color w:val="auto"/>
          <w:sz w:val="22"/>
          <w:szCs w:val="22"/>
          <w:lang w:val="en-IE"/>
        </w:rPr>
        <w:t xml:space="preserve"> </w:t>
      </w:r>
      <w:r w:rsidRPr="008C0E92">
        <w:rPr>
          <w:b w:val="0"/>
          <w:color w:val="auto"/>
          <w:sz w:val="22"/>
          <w:szCs w:val="22"/>
          <w:lang w:val="en-IE"/>
        </w:rPr>
        <w:t xml:space="preserve">and carbon </w:t>
      </w:r>
      <w:r w:rsidR="0092269E">
        <w:rPr>
          <w:b w:val="0"/>
          <w:color w:val="auto"/>
          <w:sz w:val="22"/>
          <w:szCs w:val="22"/>
          <w:lang w:val="en-IE"/>
        </w:rPr>
        <w:t xml:space="preserve">for IFI </w:t>
      </w:r>
      <w:r w:rsidRPr="008C0E92">
        <w:rPr>
          <w:b w:val="0"/>
          <w:color w:val="auto"/>
          <w:sz w:val="22"/>
          <w:szCs w:val="22"/>
          <w:lang w:val="en-IE"/>
        </w:rPr>
        <w:t xml:space="preserve">is at the early design stages of new investments. </w:t>
      </w:r>
      <w:r w:rsidR="0092269E">
        <w:rPr>
          <w:b w:val="0"/>
          <w:color w:val="auto"/>
          <w:sz w:val="22"/>
          <w:szCs w:val="22"/>
          <w:lang w:val="en-IE"/>
        </w:rPr>
        <w:t>SEAI advise that u</w:t>
      </w:r>
      <w:r w:rsidRPr="008C0E92">
        <w:rPr>
          <w:b w:val="0"/>
          <w:color w:val="auto"/>
          <w:sz w:val="22"/>
          <w:szCs w:val="22"/>
          <w:lang w:val="en-IE"/>
        </w:rPr>
        <w:t>p to 95% of the lifespan</w:t>
      </w:r>
      <w:r>
        <w:rPr>
          <w:b w:val="0"/>
          <w:color w:val="auto"/>
          <w:sz w:val="22"/>
          <w:szCs w:val="22"/>
          <w:lang w:val="en-IE"/>
        </w:rPr>
        <w:t xml:space="preserve"> </w:t>
      </w:r>
      <w:r w:rsidRPr="008C0E92">
        <w:rPr>
          <w:b w:val="0"/>
          <w:color w:val="auto"/>
          <w:sz w:val="22"/>
          <w:szCs w:val="22"/>
          <w:lang w:val="en-IE"/>
        </w:rPr>
        <w:t>cost is already committed at the end of the design process</w:t>
      </w:r>
      <w:r w:rsidR="0092269E">
        <w:rPr>
          <w:b w:val="0"/>
          <w:color w:val="auto"/>
          <w:sz w:val="22"/>
          <w:szCs w:val="22"/>
          <w:lang w:val="en-IE"/>
        </w:rPr>
        <w:t xml:space="preserve"> and that</w:t>
      </w:r>
      <w:r w:rsidRPr="008C0E92">
        <w:rPr>
          <w:b w:val="0"/>
          <w:color w:val="auto"/>
          <w:sz w:val="22"/>
          <w:szCs w:val="22"/>
          <w:lang w:val="en-IE"/>
        </w:rPr>
        <w:t xml:space="preserve"> </w:t>
      </w:r>
      <w:r w:rsidR="0092269E">
        <w:rPr>
          <w:b w:val="0"/>
          <w:color w:val="auto"/>
          <w:sz w:val="22"/>
          <w:szCs w:val="22"/>
          <w:lang w:val="en-IE"/>
        </w:rPr>
        <w:t>c</w:t>
      </w:r>
      <w:r w:rsidRPr="008C0E92">
        <w:rPr>
          <w:b w:val="0"/>
          <w:color w:val="auto"/>
          <w:sz w:val="22"/>
          <w:szCs w:val="22"/>
          <w:lang w:val="en-IE"/>
        </w:rPr>
        <w:t>ase stud</w:t>
      </w:r>
      <w:r w:rsidR="0092269E">
        <w:rPr>
          <w:b w:val="0"/>
          <w:color w:val="auto"/>
          <w:sz w:val="22"/>
          <w:szCs w:val="22"/>
          <w:lang w:val="en-IE"/>
        </w:rPr>
        <w:t>ies</w:t>
      </w:r>
      <w:r w:rsidRPr="008C0E92">
        <w:rPr>
          <w:b w:val="0"/>
          <w:color w:val="auto"/>
          <w:sz w:val="22"/>
          <w:szCs w:val="22"/>
          <w:lang w:val="en-IE"/>
        </w:rPr>
        <w:t xml:space="preserve"> have</w:t>
      </w:r>
      <w:r>
        <w:rPr>
          <w:b w:val="0"/>
          <w:color w:val="auto"/>
          <w:sz w:val="22"/>
          <w:szCs w:val="22"/>
          <w:lang w:val="en-IE"/>
        </w:rPr>
        <w:t xml:space="preserve"> </w:t>
      </w:r>
      <w:r w:rsidRPr="008C0E92">
        <w:rPr>
          <w:b w:val="0"/>
          <w:color w:val="auto"/>
          <w:sz w:val="22"/>
          <w:szCs w:val="22"/>
          <w:lang w:val="en-IE"/>
        </w:rPr>
        <w:t>demonstrated that savings available can r</w:t>
      </w:r>
      <w:r>
        <w:rPr>
          <w:b w:val="0"/>
          <w:color w:val="auto"/>
          <w:sz w:val="22"/>
          <w:szCs w:val="22"/>
          <w:lang w:val="en-IE"/>
        </w:rPr>
        <w:t xml:space="preserve">ange up to 50% improvement from </w:t>
      </w:r>
      <w:r w:rsidRPr="008C0E92">
        <w:rPr>
          <w:b w:val="0"/>
          <w:color w:val="auto"/>
          <w:sz w:val="22"/>
          <w:szCs w:val="22"/>
          <w:lang w:val="en-IE"/>
        </w:rPr>
        <w:t>a baseline design.</w:t>
      </w:r>
      <w:r>
        <w:rPr>
          <w:b w:val="0"/>
          <w:color w:val="auto"/>
          <w:sz w:val="22"/>
          <w:szCs w:val="22"/>
          <w:lang w:val="en-IE"/>
        </w:rPr>
        <w:t xml:space="preserve"> </w:t>
      </w:r>
      <w:r w:rsidR="00CB2049" w:rsidRPr="00553900">
        <w:rPr>
          <w:b w:val="0"/>
          <w:color w:val="auto"/>
          <w:sz w:val="22"/>
          <w:szCs w:val="22"/>
          <w:lang w:val="en-IE"/>
        </w:rPr>
        <w:t xml:space="preserve">The SEAI’s Annual Report 2016 on Public Sector Efficiency Performance found that </w:t>
      </w:r>
      <w:r w:rsidR="00CB2049">
        <w:rPr>
          <w:b w:val="0"/>
          <w:color w:val="auto"/>
          <w:sz w:val="22"/>
          <w:szCs w:val="22"/>
          <w:lang w:val="en-IE"/>
        </w:rPr>
        <w:t>electrical</w:t>
      </w:r>
      <w:r w:rsidR="00CB2049" w:rsidRPr="00553900">
        <w:rPr>
          <w:b w:val="0"/>
          <w:color w:val="auto"/>
          <w:sz w:val="22"/>
          <w:szCs w:val="22"/>
          <w:lang w:val="en-IE"/>
        </w:rPr>
        <w:t xml:space="preserve"> accounted for </w:t>
      </w:r>
      <w:r w:rsidR="00CB2049">
        <w:rPr>
          <w:b w:val="0"/>
          <w:color w:val="auto"/>
          <w:sz w:val="22"/>
          <w:szCs w:val="22"/>
          <w:lang w:val="en-IE"/>
        </w:rPr>
        <w:t>51</w:t>
      </w:r>
      <w:r w:rsidR="00CB2049" w:rsidRPr="00553900">
        <w:rPr>
          <w:b w:val="0"/>
          <w:color w:val="auto"/>
          <w:sz w:val="22"/>
          <w:szCs w:val="22"/>
          <w:lang w:val="en-IE"/>
        </w:rPr>
        <w:t xml:space="preserve">% </w:t>
      </w:r>
      <w:r w:rsidR="00CB2049">
        <w:rPr>
          <w:b w:val="0"/>
          <w:color w:val="auto"/>
          <w:sz w:val="22"/>
          <w:szCs w:val="22"/>
          <w:lang w:val="en-IE"/>
        </w:rPr>
        <w:t xml:space="preserve">and heating (thermal) accounted for 25% </w:t>
      </w:r>
      <w:r w:rsidR="00CB2049" w:rsidRPr="00553900">
        <w:rPr>
          <w:b w:val="0"/>
          <w:color w:val="auto"/>
          <w:sz w:val="22"/>
          <w:szCs w:val="22"/>
          <w:lang w:val="en-IE"/>
        </w:rPr>
        <w:t>of primary energy consumption in the public sector.</w:t>
      </w:r>
      <w:r w:rsidR="00CB2049">
        <w:rPr>
          <w:b w:val="0"/>
          <w:color w:val="auto"/>
          <w:sz w:val="22"/>
          <w:szCs w:val="22"/>
          <w:lang w:val="en-IE"/>
        </w:rPr>
        <w:t xml:space="preserve"> </w:t>
      </w:r>
    </w:p>
    <w:p w14:paraId="5D7AAD15" w14:textId="77777777" w:rsidR="00CB2049" w:rsidRDefault="00CB2049" w:rsidP="00B65095">
      <w:pPr>
        <w:pStyle w:val="DeeStyle1"/>
        <w:jc w:val="center"/>
        <w:rPr>
          <w:b w:val="0"/>
          <w:color w:val="auto"/>
          <w:sz w:val="22"/>
          <w:szCs w:val="22"/>
          <w:lang w:val="en-IE"/>
        </w:rPr>
      </w:pPr>
    </w:p>
    <w:p w14:paraId="5D7AAD16" w14:textId="2E2F29EC" w:rsidR="008C0E92" w:rsidRPr="008C0E92" w:rsidRDefault="00B009AD" w:rsidP="008C0E92">
      <w:pPr>
        <w:pStyle w:val="DeeStyle1"/>
        <w:rPr>
          <w:b w:val="0"/>
          <w:color w:val="auto"/>
          <w:sz w:val="22"/>
          <w:szCs w:val="22"/>
          <w:lang w:val="en-IE"/>
        </w:rPr>
      </w:pPr>
      <w:r>
        <w:rPr>
          <w:b w:val="0"/>
          <w:color w:val="auto"/>
          <w:sz w:val="22"/>
          <w:szCs w:val="22"/>
          <w:lang w:val="en-IE"/>
        </w:rPr>
        <w:t xml:space="preserve">National Standards and Certification: </w:t>
      </w:r>
      <w:r w:rsidR="008C0E92" w:rsidRPr="008C0E92">
        <w:rPr>
          <w:b w:val="0"/>
          <w:color w:val="auto"/>
          <w:sz w:val="22"/>
          <w:szCs w:val="22"/>
          <w:lang w:val="en-IE"/>
        </w:rPr>
        <w:t>IS (Irish Standard) 399 is a standard developed by the SEAI and the National Standards</w:t>
      </w:r>
      <w:r w:rsidR="008C0E92">
        <w:rPr>
          <w:b w:val="0"/>
          <w:color w:val="auto"/>
          <w:sz w:val="22"/>
          <w:szCs w:val="22"/>
          <w:lang w:val="en-IE"/>
        </w:rPr>
        <w:t xml:space="preserve"> </w:t>
      </w:r>
      <w:r w:rsidR="008C0E92" w:rsidRPr="008C0E92">
        <w:rPr>
          <w:b w:val="0"/>
          <w:color w:val="auto"/>
          <w:sz w:val="22"/>
          <w:szCs w:val="22"/>
          <w:lang w:val="en-IE"/>
        </w:rPr>
        <w:t>Autho</w:t>
      </w:r>
      <w:r w:rsidR="008C0E92">
        <w:rPr>
          <w:b w:val="0"/>
          <w:color w:val="auto"/>
          <w:sz w:val="22"/>
          <w:szCs w:val="22"/>
          <w:lang w:val="en-IE"/>
        </w:rPr>
        <w:t xml:space="preserve">rity of Ireland (NSAI) to allow </w:t>
      </w:r>
      <w:r w:rsidR="008C0E92" w:rsidRPr="008C0E92">
        <w:rPr>
          <w:b w:val="0"/>
          <w:color w:val="auto"/>
          <w:sz w:val="22"/>
          <w:szCs w:val="22"/>
          <w:lang w:val="en-IE"/>
        </w:rPr>
        <w:t>organisations to develop and continuously improve their</w:t>
      </w:r>
      <w:r w:rsidR="008C0E92">
        <w:rPr>
          <w:b w:val="0"/>
          <w:color w:val="auto"/>
          <w:sz w:val="22"/>
          <w:szCs w:val="22"/>
          <w:lang w:val="en-IE"/>
        </w:rPr>
        <w:t xml:space="preserve"> </w:t>
      </w:r>
      <w:r w:rsidR="008C0E92" w:rsidRPr="008C0E92">
        <w:rPr>
          <w:b w:val="0"/>
          <w:color w:val="auto"/>
          <w:sz w:val="22"/>
          <w:szCs w:val="22"/>
          <w:lang w:val="en-IE"/>
        </w:rPr>
        <w:t>capacity in ener</w:t>
      </w:r>
      <w:r w:rsidR="008C0E92">
        <w:rPr>
          <w:b w:val="0"/>
          <w:color w:val="auto"/>
          <w:sz w:val="22"/>
          <w:szCs w:val="22"/>
          <w:lang w:val="en-IE"/>
        </w:rPr>
        <w:t xml:space="preserve">gy efficient design management. </w:t>
      </w:r>
      <w:r w:rsidR="008C0E92" w:rsidRPr="008C0E92">
        <w:rPr>
          <w:b w:val="0"/>
          <w:color w:val="auto"/>
          <w:sz w:val="22"/>
          <w:szCs w:val="22"/>
          <w:lang w:val="en-IE"/>
        </w:rPr>
        <w:t>The short time-bound period of design</w:t>
      </w:r>
      <w:r w:rsidR="008C0E92">
        <w:rPr>
          <w:b w:val="0"/>
          <w:color w:val="auto"/>
          <w:sz w:val="22"/>
          <w:szCs w:val="22"/>
          <w:lang w:val="en-IE"/>
        </w:rPr>
        <w:t xml:space="preserve"> </w:t>
      </w:r>
      <w:r w:rsidR="008C0E92" w:rsidRPr="008C0E92">
        <w:rPr>
          <w:b w:val="0"/>
          <w:color w:val="auto"/>
          <w:sz w:val="22"/>
          <w:szCs w:val="22"/>
          <w:lang w:val="en-IE"/>
        </w:rPr>
        <w:t>provides the greatest energy saving potential with the most attractive return on investment.</w:t>
      </w:r>
      <w:r w:rsidR="008C0E92">
        <w:rPr>
          <w:b w:val="0"/>
          <w:color w:val="auto"/>
          <w:sz w:val="22"/>
          <w:szCs w:val="22"/>
          <w:lang w:val="en-IE"/>
        </w:rPr>
        <w:t xml:space="preserve"> </w:t>
      </w:r>
      <w:r w:rsidR="008C0E92" w:rsidRPr="008C0E92">
        <w:rPr>
          <w:b w:val="0"/>
          <w:color w:val="auto"/>
          <w:sz w:val="22"/>
          <w:szCs w:val="22"/>
          <w:lang w:val="en-IE"/>
        </w:rPr>
        <w:t xml:space="preserve">Coupled with the </w:t>
      </w:r>
      <w:proofErr w:type="spellStart"/>
      <w:r w:rsidR="008C0E92" w:rsidRPr="008C0E92">
        <w:rPr>
          <w:b w:val="0"/>
          <w:color w:val="auto"/>
          <w:sz w:val="22"/>
          <w:szCs w:val="22"/>
          <w:lang w:val="en-IE"/>
        </w:rPr>
        <w:t>ExEED</w:t>
      </w:r>
      <w:proofErr w:type="spellEnd"/>
      <w:r w:rsidR="008C0E92" w:rsidRPr="008C0E92">
        <w:rPr>
          <w:b w:val="0"/>
          <w:color w:val="auto"/>
          <w:sz w:val="22"/>
          <w:szCs w:val="22"/>
          <w:lang w:val="en-IE"/>
        </w:rPr>
        <w:t xml:space="preserve"> Certified Energy Efficient Design Programme launched as a pilot</w:t>
      </w:r>
      <w:r w:rsidR="008C0E92">
        <w:rPr>
          <w:b w:val="0"/>
          <w:color w:val="auto"/>
          <w:sz w:val="22"/>
          <w:szCs w:val="22"/>
          <w:lang w:val="en-IE"/>
        </w:rPr>
        <w:t xml:space="preserve"> </w:t>
      </w:r>
      <w:r w:rsidR="008C0E92" w:rsidRPr="008C0E92">
        <w:rPr>
          <w:b w:val="0"/>
          <w:color w:val="auto"/>
          <w:sz w:val="22"/>
          <w:szCs w:val="22"/>
          <w:lang w:val="en-IE"/>
        </w:rPr>
        <w:t>by SEAI in April 2016, the standard provides a mechanism to certify Energy Efficient Assets.</w:t>
      </w:r>
      <w:r w:rsidR="008C0E92">
        <w:rPr>
          <w:b w:val="0"/>
          <w:color w:val="auto"/>
          <w:sz w:val="22"/>
          <w:szCs w:val="22"/>
          <w:lang w:val="en-IE"/>
        </w:rPr>
        <w:t xml:space="preserve"> The certification is based on </w:t>
      </w:r>
      <w:r w:rsidR="008C0E92" w:rsidRPr="008C0E92">
        <w:rPr>
          <w:b w:val="0"/>
          <w:color w:val="auto"/>
          <w:sz w:val="22"/>
          <w:szCs w:val="22"/>
          <w:lang w:val="en-IE"/>
        </w:rPr>
        <w:t>full life cycle, verifiable energy savings, fully compatible with other IS</w:t>
      </w:r>
      <w:r w:rsidR="008C0E92">
        <w:rPr>
          <w:b w:val="0"/>
          <w:color w:val="auto"/>
          <w:sz w:val="22"/>
          <w:szCs w:val="22"/>
          <w:lang w:val="en-IE"/>
        </w:rPr>
        <w:t xml:space="preserve"> </w:t>
      </w:r>
      <w:r w:rsidR="008C0E92" w:rsidRPr="008C0E92">
        <w:rPr>
          <w:b w:val="0"/>
          <w:color w:val="auto"/>
          <w:sz w:val="22"/>
          <w:szCs w:val="22"/>
          <w:lang w:val="en-IE"/>
        </w:rPr>
        <w:t>and ISO standards and fully independent, compli</w:t>
      </w:r>
      <w:r w:rsidR="008C0E92">
        <w:rPr>
          <w:b w:val="0"/>
          <w:color w:val="auto"/>
          <w:sz w:val="22"/>
          <w:szCs w:val="22"/>
          <w:lang w:val="en-IE"/>
        </w:rPr>
        <w:t xml:space="preserve">ance based, audit. The standard </w:t>
      </w:r>
      <w:r w:rsidR="008C0E92" w:rsidRPr="008C0E92">
        <w:rPr>
          <w:b w:val="0"/>
          <w:color w:val="auto"/>
          <w:sz w:val="22"/>
          <w:szCs w:val="22"/>
          <w:lang w:val="en-IE"/>
        </w:rPr>
        <w:t>is applicable</w:t>
      </w:r>
      <w:r w:rsidR="008C0E92">
        <w:rPr>
          <w:b w:val="0"/>
          <w:color w:val="auto"/>
          <w:sz w:val="22"/>
          <w:szCs w:val="22"/>
          <w:lang w:val="en-IE"/>
        </w:rPr>
        <w:t xml:space="preserve"> </w:t>
      </w:r>
      <w:r w:rsidR="008C0E92" w:rsidRPr="008C0E92">
        <w:rPr>
          <w:b w:val="0"/>
          <w:color w:val="auto"/>
          <w:sz w:val="22"/>
          <w:szCs w:val="22"/>
          <w:lang w:val="en-IE"/>
        </w:rPr>
        <w:t>to any scale of facility, new build or building renovation and creation or re-design of equipment</w:t>
      </w:r>
      <w:r w:rsidR="008C0E92">
        <w:rPr>
          <w:b w:val="0"/>
          <w:color w:val="auto"/>
          <w:sz w:val="22"/>
          <w:szCs w:val="22"/>
          <w:lang w:val="en-IE"/>
        </w:rPr>
        <w:t xml:space="preserve"> </w:t>
      </w:r>
      <w:r w:rsidR="008C0E92" w:rsidRPr="008C0E92">
        <w:rPr>
          <w:b w:val="0"/>
          <w:color w:val="auto"/>
          <w:sz w:val="22"/>
          <w:szCs w:val="22"/>
          <w:lang w:val="en-IE"/>
        </w:rPr>
        <w:t>and processes.</w:t>
      </w:r>
    </w:p>
    <w:p w14:paraId="5D7AAD17" w14:textId="77777777" w:rsidR="008C0E92" w:rsidRDefault="008C0E92" w:rsidP="008C0E92">
      <w:pPr>
        <w:pStyle w:val="DeeStyle1"/>
        <w:rPr>
          <w:b w:val="0"/>
          <w:color w:val="auto"/>
          <w:sz w:val="22"/>
          <w:szCs w:val="22"/>
          <w:lang w:val="en-IE"/>
        </w:rPr>
      </w:pPr>
    </w:p>
    <w:p w14:paraId="5D7AAD18" w14:textId="77777777" w:rsidR="008C0E92" w:rsidRPr="008C0E92" w:rsidRDefault="008C0E92" w:rsidP="008C0E92">
      <w:pPr>
        <w:pStyle w:val="DeeStyle1"/>
        <w:rPr>
          <w:b w:val="0"/>
          <w:color w:val="auto"/>
          <w:sz w:val="22"/>
          <w:szCs w:val="22"/>
          <w:lang w:val="en-IE"/>
        </w:rPr>
      </w:pPr>
      <w:r w:rsidRPr="00CB2049">
        <w:rPr>
          <w:b w:val="0"/>
          <w:color w:val="auto"/>
          <w:sz w:val="22"/>
          <w:szCs w:val="22"/>
          <w:lang w:val="en-IE"/>
        </w:rPr>
        <w:t>Building renovation:</w:t>
      </w:r>
      <w:r w:rsidRPr="008C0E92">
        <w:rPr>
          <w:b w:val="0"/>
          <w:color w:val="auto"/>
          <w:sz w:val="22"/>
          <w:szCs w:val="22"/>
          <w:lang w:val="en-IE"/>
        </w:rPr>
        <w:t xml:space="preserve"> The SEAI report, </w:t>
      </w:r>
      <w:r w:rsidRPr="00986EF4">
        <w:rPr>
          <w:b w:val="0"/>
          <w:i/>
          <w:color w:val="auto"/>
          <w:sz w:val="22"/>
          <w:szCs w:val="22"/>
          <w:lang w:val="en-IE"/>
        </w:rPr>
        <w:t>Unlocking the Energy Efficiency Opportunity</w:t>
      </w:r>
      <w:r w:rsidRPr="008C0E92">
        <w:rPr>
          <w:b w:val="0"/>
          <w:color w:val="auto"/>
          <w:sz w:val="22"/>
          <w:szCs w:val="22"/>
          <w:lang w:val="en-IE"/>
        </w:rPr>
        <w:t xml:space="preserve"> published</w:t>
      </w:r>
      <w:r>
        <w:rPr>
          <w:b w:val="0"/>
          <w:color w:val="auto"/>
          <w:sz w:val="22"/>
          <w:szCs w:val="22"/>
          <w:lang w:val="en-IE"/>
        </w:rPr>
        <w:t xml:space="preserve"> </w:t>
      </w:r>
      <w:r w:rsidRPr="008C0E92">
        <w:rPr>
          <w:b w:val="0"/>
          <w:color w:val="auto"/>
          <w:sz w:val="22"/>
          <w:szCs w:val="22"/>
          <w:lang w:val="en-IE"/>
        </w:rPr>
        <w:t>June 2015, identified the</w:t>
      </w:r>
      <w:r>
        <w:rPr>
          <w:b w:val="0"/>
          <w:color w:val="auto"/>
          <w:sz w:val="22"/>
          <w:szCs w:val="22"/>
          <w:lang w:val="en-IE"/>
        </w:rPr>
        <w:t xml:space="preserve"> technical potential for energy </w:t>
      </w:r>
      <w:r w:rsidRPr="008C0E92">
        <w:rPr>
          <w:b w:val="0"/>
          <w:color w:val="auto"/>
          <w:sz w:val="22"/>
          <w:szCs w:val="22"/>
          <w:lang w:val="en-IE"/>
        </w:rPr>
        <w:lastRenderedPageBreak/>
        <w:t>savings of 2,500 GWh in public buildings</w:t>
      </w:r>
      <w:r>
        <w:rPr>
          <w:b w:val="0"/>
          <w:color w:val="auto"/>
          <w:sz w:val="22"/>
          <w:szCs w:val="22"/>
          <w:lang w:val="en-IE"/>
        </w:rPr>
        <w:t xml:space="preserve"> to 2020. The report went on to </w:t>
      </w:r>
      <w:r w:rsidRPr="008C0E92">
        <w:rPr>
          <w:b w:val="0"/>
          <w:color w:val="auto"/>
          <w:sz w:val="22"/>
          <w:szCs w:val="22"/>
          <w:lang w:val="en-IE"/>
        </w:rPr>
        <w:t>analyse how much of this technical potential it would be cost</w:t>
      </w:r>
      <w:r>
        <w:rPr>
          <w:b w:val="0"/>
          <w:color w:val="auto"/>
          <w:sz w:val="22"/>
          <w:szCs w:val="22"/>
          <w:lang w:val="en-IE"/>
        </w:rPr>
        <w:t xml:space="preserve"> </w:t>
      </w:r>
      <w:r w:rsidRPr="008C0E92">
        <w:rPr>
          <w:b w:val="0"/>
          <w:color w:val="auto"/>
          <w:sz w:val="22"/>
          <w:szCs w:val="22"/>
          <w:lang w:val="en-IE"/>
        </w:rPr>
        <w:t xml:space="preserve">effective to realise. It found that ‘deep’ measures </w:t>
      </w:r>
      <w:proofErr w:type="gramStart"/>
      <w:r w:rsidRPr="008C0E92">
        <w:rPr>
          <w:b w:val="0"/>
          <w:color w:val="auto"/>
          <w:sz w:val="22"/>
          <w:szCs w:val="22"/>
          <w:lang w:val="en-IE"/>
        </w:rPr>
        <w:t>i.e.</w:t>
      </w:r>
      <w:proofErr w:type="gramEnd"/>
      <w:r w:rsidRPr="008C0E92">
        <w:rPr>
          <w:b w:val="0"/>
          <w:color w:val="auto"/>
          <w:sz w:val="22"/>
          <w:szCs w:val="22"/>
          <w:lang w:val="en-IE"/>
        </w:rPr>
        <w:t xml:space="preserve"> those that technically could produce the</w:t>
      </w:r>
      <w:r>
        <w:rPr>
          <w:b w:val="0"/>
          <w:color w:val="auto"/>
          <w:sz w:val="22"/>
          <w:szCs w:val="22"/>
          <w:lang w:val="en-IE"/>
        </w:rPr>
        <w:t xml:space="preserve"> </w:t>
      </w:r>
      <w:r w:rsidRPr="008C0E92">
        <w:rPr>
          <w:b w:val="0"/>
          <w:color w:val="auto"/>
          <w:sz w:val="22"/>
          <w:szCs w:val="22"/>
          <w:lang w:val="en-IE"/>
        </w:rPr>
        <w:t>largest amount of energy savings such as, solid wall insulation, window replacement and heat</w:t>
      </w:r>
      <w:r>
        <w:rPr>
          <w:b w:val="0"/>
          <w:color w:val="auto"/>
          <w:sz w:val="22"/>
          <w:szCs w:val="22"/>
          <w:lang w:val="en-IE"/>
        </w:rPr>
        <w:t xml:space="preserve"> </w:t>
      </w:r>
      <w:r w:rsidRPr="008C0E92">
        <w:rPr>
          <w:b w:val="0"/>
          <w:color w:val="auto"/>
          <w:sz w:val="22"/>
          <w:szCs w:val="22"/>
          <w:lang w:val="en-IE"/>
        </w:rPr>
        <w:t>pumps, were often not cost effective when installed on their own because the pay-back periods</w:t>
      </w:r>
      <w:r>
        <w:rPr>
          <w:b w:val="0"/>
          <w:color w:val="auto"/>
          <w:sz w:val="22"/>
          <w:szCs w:val="22"/>
          <w:lang w:val="en-IE"/>
        </w:rPr>
        <w:t xml:space="preserve"> </w:t>
      </w:r>
      <w:r w:rsidRPr="008C0E92">
        <w:rPr>
          <w:b w:val="0"/>
          <w:color w:val="auto"/>
          <w:sz w:val="22"/>
          <w:szCs w:val="22"/>
          <w:lang w:val="en-IE"/>
        </w:rPr>
        <w:t>are too long. However, when installed as part of a ‘package’ of measures, including ‘shallower’</w:t>
      </w:r>
      <w:r>
        <w:rPr>
          <w:b w:val="0"/>
          <w:color w:val="auto"/>
          <w:sz w:val="22"/>
          <w:szCs w:val="22"/>
          <w:lang w:val="en-IE"/>
        </w:rPr>
        <w:t xml:space="preserve"> </w:t>
      </w:r>
      <w:r w:rsidRPr="008C0E92">
        <w:rPr>
          <w:b w:val="0"/>
          <w:color w:val="auto"/>
          <w:sz w:val="22"/>
          <w:szCs w:val="22"/>
          <w:lang w:val="en-IE"/>
        </w:rPr>
        <w:t>measures with shorter pay-back periods such as lighting and heating upgrades (both to include</w:t>
      </w:r>
      <w:r>
        <w:rPr>
          <w:b w:val="0"/>
          <w:color w:val="auto"/>
          <w:sz w:val="22"/>
          <w:szCs w:val="22"/>
          <w:lang w:val="en-IE"/>
        </w:rPr>
        <w:t xml:space="preserve"> </w:t>
      </w:r>
      <w:r w:rsidRPr="008C0E92">
        <w:rPr>
          <w:b w:val="0"/>
          <w:color w:val="auto"/>
          <w:sz w:val="22"/>
          <w:szCs w:val="22"/>
          <w:lang w:val="en-IE"/>
        </w:rPr>
        <w:t>controls and roof insulation</w:t>
      </w:r>
      <w:r>
        <w:rPr>
          <w:b w:val="0"/>
          <w:color w:val="auto"/>
          <w:sz w:val="22"/>
          <w:szCs w:val="22"/>
          <w:lang w:val="en-IE"/>
        </w:rPr>
        <w:t>)</w:t>
      </w:r>
      <w:r w:rsidRPr="008C0E92">
        <w:rPr>
          <w:b w:val="0"/>
          <w:color w:val="auto"/>
          <w:sz w:val="22"/>
          <w:szCs w:val="22"/>
          <w:lang w:val="en-IE"/>
        </w:rPr>
        <w:t>, then these deeper measures become relatively more cost effective</w:t>
      </w:r>
      <w:r>
        <w:rPr>
          <w:b w:val="0"/>
          <w:color w:val="auto"/>
          <w:sz w:val="22"/>
          <w:szCs w:val="22"/>
          <w:lang w:val="en-IE"/>
        </w:rPr>
        <w:t xml:space="preserve"> </w:t>
      </w:r>
      <w:r w:rsidRPr="008C0E92">
        <w:rPr>
          <w:b w:val="0"/>
          <w:color w:val="auto"/>
          <w:sz w:val="22"/>
          <w:szCs w:val="22"/>
          <w:lang w:val="en-IE"/>
        </w:rPr>
        <w:t>and could provide 1,600 GWh of energy savings. This technical and economic analysis shows</w:t>
      </w:r>
      <w:r>
        <w:rPr>
          <w:b w:val="0"/>
          <w:color w:val="auto"/>
          <w:sz w:val="22"/>
          <w:szCs w:val="22"/>
          <w:lang w:val="en-IE"/>
        </w:rPr>
        <w:t xml:space="preserve"> </w:t>
      </w:r>
      <w:r w:rsidRPr="008C0E92">
        <w:rPr>
          <w:b w:val="0"/>
          <w:color w:val="auto"/>
          <w:sz w:val="22"/>
          <w:szCs w:val="22"/>
          <w:lang w:val="en-IE"/>
        </w:rPr>
        <w:t>that it is the combination of shallow and deep measures that will achieve increased, and more</w:t>
      </w:r>
      <w:r>
        <w:rPr>
          <w:b w:val="0"/>
          <w:color w:val="auto"/>
          <w:sz w:val="22"/>
          <w:szCs w:val="22"/>
          <w:lang w:val="en-IE"/>
        </w:rPr>
        <w:t xml:space="preserve"> </w:t>
      </w:r>
      <w:r w:rsidRPr="008C0E92">
        <w:rPr>
          <w:b w:val="0"/>
          <w:color w:val="auto"/>
          <w:sz w:val="22"/>
          <w:szCs w:val="22"/>
          <w:lang w:val="en-IE"/>
        </w:rPr>
        <w:t>durable, energy savings and better value for money.</w:t>
      </w:r>
    </w:p>
    <w:p w14:paraId="5D7AAD19" w14:textId="77777777" w:rsidR="00986EF4" w:rsidRDefault="00986EF4" w:rsidP="008C0E92">
      <w:pPr>
        <w:pStyle w:val="DeeStyle1"/>
        <w:rPr>
          <w:b w:val="0"/>
          <w:color w:val="auto"/>
          <w:sz w:val="22"/>
          <w:szCs w:val="22"/>
          <w:lang w:val="en-IE"/>
        </w:rPr>
      </w:pPr>
    </w:p>
    <w:p w14:paraId="5D7AAD1A" w14:textId="77777777" w:rsidR="006B1854" w:rsidRDefault="008C0E92" w:rsidP="008C0E92">
      <w:pPr>
        <w:pStyle w:val="DeeStyle1"/>
        <w:rPr>
          <w:b w:val="0"/>
          <w:color w:val="auto"/>
          <w:sz w:val="22"/>
          <w:szCs w:val="22"/>
          <w:lang w:val="en-IE"/>
        </w:rPr>
      </w:pPr>
      <w:r w:rsidRPr="008C0E92">
        <w:rPr>
          <w:b w:val="0"/>
          <w:color w:val="auto"/>
          <w:sz w:val="22"/>
          <w:szCs w:val="22"/>
          <w:lang w:val="en-IE"/>
        </w:rPr>
        <w:t>In practical terms, the approach should be to exploit the short pay back works first (</w:t>
      </w:r>
      <w:proofErr w:type="gramStart"/>
      <w:r w:rsidRPr="008C0E92">
        <w:rPr>
          <w:b w:val="0"/>
          <w:color w:val="auto"/>
          <w:sz w:val="22"/>
          <w:szCs w:val="22"/>
          <w:lang w:val="en-IE"/>
        </w:rPr>
        <w:t>e.g.</w:t>
      </w:r>
      <w:proofErr w:type="gramEnd"/>
      <w:r w:rsidR="00986EF4">
        <w:rPr>
          <w:b w:val="0"/>
          <w:color w:val="auto"/>
          <w:sz w:val="22"/>
          <w:szCs w:val="22"/>
          <w:lang w:val="en-IE"/>
        </w:rPr>
        <w:t xml:space="preserve"> </w:t>
      </w:r>
      <w:r w:rsidRPr="008C0E92">
        <w:rPr>
          <w:b w:val="0"/>
          <w:color w:val="auto"/>
          <w:sz w:val="22"/>
          <w:szCs w:val="22"/>
          <w:lang w:val="en-IE"/>
        </w:rPr>
        <w:t>behaviour change, optimising existing controls, and mechanical and electrical upgrades). The</w:t>
      </w:r>
      <w:r w:rsidR="00986EF4">
        <w:rPr>
          <w:b w:val="0"/>
          <w:color w:val="auto"/>
          <w:sz w:val="22"/>
          <w:szCs w:val="22"/>
          <w:lang w:val="en-IE"/>
        </w:rPr>
        <w:t xml:space="preserve"> </w:t>
      </w:r>
      <w:r w:rsidRPr="008C0E92">
        <w:rPr>
          <w:b w:val="0"/>
          <w:color w:val="auto"/>
          <w:sz w:val="22"/>
          <w:szCs w:val="22"/>
          <w:lang w:val="en-IE"/>
        </w:rPr>
        <w:t>next step is to consider those projects with longer payback and identify synergies between</w:t>
      </w:r>
      <w:r w:rsidR="00986EF4">
        <w:rPr>
          <w:b w:val="0"/>
          <w:color w:val="auto"/>
          <w:sz w:val="22"/>
          <w:szCs w:val="22"/>
          <w:lang w:val="en-IE"/>
        </w:rPr>
        <w:t xml:space="preserve"> </w:t>
      </w:r>
      <w:r w:rsidRPr="008C0E92">
        <w:rPr>
          <w:b w:val="0"/>
          <w:color w:val="auto"/>
          <w:sz w:val="22"/>
          <w:szCs w:val="22"/>
          <w:lang w:val="en-IE"/>
        </w:rPr>
        <w:t>these work packages</w:t>
      </w:r>
      <w:r w:rsidR="007341EE">
        <w:rPr>
          <w:b w:val="0"/>
          <w:color w:val="auto"/>
          <w:sz w:val="22"/>
          <w:szCs w:val="22"/>
          <w:lang w:val="en-IE"/>
        </w:rPr>
        <w:t>.</w:t>
      </w:r>
    </w:p>
    <w:p w14:paraId="5D7AAD1B" w14:textId="77777777" w:rsidR="007341EE" w:rsidRPr="00C26E53" w:rsidRDefault="007341EE" w:rsidP="008C0E92">
      <w:pPr>
        <w:pStyle w:val="DeeStyle1"/>
        <w:rPr>
          <w:b w:val="0"/>
          <w:color w:val="auto"/>
          <w:sz w:val="22"/>
          <w:szCs w:val="22"/>
          <w:lang w:val="en-IE"/>
        </w:rPr>
      </w:pPr>
    </w:p>
    <w:p w14:paraId="5D7AAD1C" w14:textId="77777777" w:rsidR="006B1854" w:rsidRDefault="007341EE" w:rsidP="009B2EFD">
      <w:pPr>
        <w:pStyle w:val="DeeStyle1"/>
        <w:jc w:val="center"/>
        <w:rPr>
          <w:b w:val="0"/>
          <w:color w:val="17365D"/>
          <w:szCs w:val="20"/>
          <w:lang w:val="en-IE"/>
        </w:rPr>
      </w:pPr>
      <w:r>
        <w:rPr>
          <w:noProof/>
          <w:lang w:val="en-IE" w:eastAsia="en-IE"/>
        </w:rPr>
        <w:drawing>
          <wp:inline distT="0" distB="0" distL="0" distR="0" wp14:anchorId="5D7AAD79" wp14:editId="5D7AAD7A">
            <wp:extent cx="4479102" cy="3168869"/>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85407" cy="3173330"/>
                    </a:xfrm>
                    <a:prstGeom prst="rect">
                      <a:avLst/>
                    </a:prstGeom>
                  </pic:spPr>
                </pic:pic>
              </a:graphicData>
            </a:graphic>
          </wp:inline>
        </w:drawing>
      </w:r>
    </w:p>
    <w:p w14:paraId="5D7AAD1D" w14:textId="77777777" w:rsidR="00CB2049" w:rsidRDefault="006D6791" w:rsidP="00CB2049">
      <w:pPr>
        <w:pStyle w:val="DeeStyle1"/>
        <w:rPr>
          <w:b w:val="0"/>
          <w:color w:val="auto"/>
          <w:sz w:val="22"/>
          <w:szCs w:val="22"/>
          <w:lang w:val="en-IE"/>
        </w:rPr>
      </w:pPr>
      <w:r w:rsidRPr="00E77DD9">
        <w:rPr>
          <w:b w:val="0"/>
          <w:color w:val="auto"/>
          <w:sz w:val="22"/>
          <w:szCs w:val="22"/>
          <w:lang w:val="en-IE"/>
        </w:rPr>
        <w:lastRenderedPageBreak/>
        <w:t>Renewables</w:t>
      </w:r>
      <w:r w:rsidR="00E77DD9" w:rsidRPr="00E77DD9">
        <w:rPr>
          <w:b w:val="0"/>
          <w:color w:val="auto"/>
          <w:sz w:val="22"/>
          <w:szCs w:val="22"/>
          <w:lang w:val="en-IE"/>
        </w:rPr>
        <w:t xml:space="preserve"> and energy sustainability</w:t>
      </w:r>
      <w:r w:rsidRPr="00E77DD9">
        <w:rPr>
          <w:b w:val="0"/>
          <w:color w:val="auto"/>
          <w:sz w:val="22"/>
          <w:szCs w:val="22"/>
          <w:lang w:val="en-IE"/>
        </w:rPr>
        <w:t xml:space="preserve">: </w:t>
      </w:r>
      <w:r w:rsidR="0094080E" w:rsidRPr="00E77DD9">
        <w:rPr>
          <w:b w:val="0"/>
          <w:color w:val="auto"/>
          <w:sz w:val="22"/>
          <w:szCs w:val="22"/>
          <w:lang w:val="en-IE"/>
        </w:rPr>
        <w:t>IFI</w:t>
      </w:r>
      <w:r w:rsidR="00CB2049" w:rsidRPr="00E77DD9">
        <w:rPr>
          <w:b w:val="0"/>
          <w:color w:val="auto"/>
          <w:sz w:val="22"/>
          <w:szCs w:val="22"/>
          <w:lang w:val="en-IE"/>
        </w:rPr>
        <w:t xml:space="preserve"> should adopt</w:t>
      </w:r>
      <w:r w:rsidR="0094080E" w:rsidRPr="00E77DD9">
        <w:rPr>
          <w:b w:val="0"/>
          <w:color w:val="auto"/>
          <w:sz w:val="22"/>
          <w:szCs w:val="22"/>
          <w:lang w:val="en-IE"/>
        </w:rPr>
        <w:t xml:space="preserve"> </w:t>
      </w:r>
      <w:r w:rsidR="00CB2049" w:rsidRPr="00E77DD9">
        <w:rPr>
          <w:b w:val="0"/>
          <w:color w:val="auto"/>
          <w:sz w:val="22"/>
          <w:szCs w:val="22"/>
          <w:lang w:val="en-IE"/>
        </w:rPr>
        <w:t>renewable energy solutions in tandem with energy efficiency action where appropriate.</w:t>
      </w:r>
      <w:r w:rsidR="0094080E" w:rsidRPr="00E77DD9">
        <w:rPr>
          <w:b w:val="0"/>
          <w:color w:val="auto"/>
          <w:sz w:val="22"/>
          <w:szCs w:val="22"/>
          <w:lang w:val="en-IE"/>
        </w:rPr>
        <w:t xml:space="preserve"> </w:t>
      </w:r>
      <w:r w:rsidR="00CB2049" w:rsidRPr="00E77DD9">
        <w:rPr>
          <w:b w:val="0"/>
          <w:color w:val="auto"/>
          <w:sz w:val="22"/>
          <w:szCs w:val="22"/>
          <w:lang w:val="en-IE"/>
        </w:rPr>
        <w:t>Use of renewable energy is rewarded in the methodology used to track public bodies energy</w:t>
      </w:r>
      <w:r w:rsidR="0094080E" w:rsidRPr="00E77DD9">
        <w:rPr>
          <w:b w:val="0"/>
          <w:color w:val="auto"/>
          <w:sz w:val="22"/>
          <w:szCs w:val="22"/>
          <w:lang w:val="en-IE"/>
        </w:rPr>
        <w:t xml:space="preserve"> </w:t>
      </w:r>
      <w:r w:rsidR="00CB2049" w:rsidRPr="00E77DD9">
        <w:rPr>
          <w:b w:val="0"/>
          <w:color w:val="auto"/>
          <w:sz w:val="22"/>
          <w:szCs w:val="22"/>
          <w:lang w:val="en-IE"/>
        </w:rPr>
        <w:t>performance (SEAI’s Monitoring and Reporting system). Onsite renewable energy generation</w:t>
      </w:r>
      <w:r w:rsidRPr="00E77DD9">
        <w:rPr>
          <w:b w:val="0"/>
          <w:color w:val="auto"/>
          <w:sz w:val="22"/>
          <w:szCs w:val="22"/>
          <w:lang w:val="en-IE"/>
        </w:rPr>
        <w:t xml:space="preserve"> </w:t>
      </w:r>
      <w:r w:rsidR="00CB2049" w:rsidRPr="00E77DD9">
        <w:rPr>
          <w:b w:val="0"/>
          <w:color w:val="auto"/>
          <w:sz w:val="22"/>
          <w:szCs w:val="22"/>
          <w:lang w:val="en-IE"/>
        </w:rPr>
        <w:t xml:space="preserve">that offsets imported grid electricity will improve </w:t>
      </w:r>
      <w:r w:rsidRPr="00E77DD9">
        <w:rPr>
          <w:b w:val="0"/>
          <w:color w:val="auto"/>
          <w:sz w:val="22"/>
          <w:szCs w:val="22"/>
          <w:lang w:val="en-IE"/>
        </w:rPr>
        <w:t>IFI</w:t>
      </w:r>
      <w:r w:rsidR="00CB2049" w:rsidRPr="00E77DD9">
        <w:rPr>
          <w:b w:val="0"/>
          <w:color w:val="auto"/>
          <w:sz w:val="22"/>
          <w:szCs w:val="22"/>
          <w:lang w:val="en-IE"/>
        </w:rPr>
        <w:t>’s energy performance.</w:t>
      </w:r>
      <w:r w:rsidRPr="00E77DD9">
        <w:rPr>
          <w:b w:val="0"/>
          <w:color w:val="auto"/>
          <w:sz w:val="22"/>
          <w:szCs w:val="22"/>
          <w:lang w:val="en-IE"/>
        </w:rPr>
        <w:t xml:space="preserve"> </w:t>
      </w:r>
      <w:r w:rsidR="00CB2049" w:rsidRPr="00E77DD9">
        <w:rPr>
          <w:b w:val="0"/>
          <w:color w:val="auto"/>
          <w:sz w:val="22"/>
          <w:szCs w:val="22"/>
          <w:lang w:val="en-IE"/>
        </w:rPr>
        <w:t xml:space="preserve">A holistic approach to energy saving projects and improved energy performance is </w:t>
      </w:r>
      <w:r w:rsidRPr="00E77DD9">
        <w:rPr>
          <w:b w:val="0"/>
          <w:color w:val="auto"/>
          <w:sz w:val="22"/>
          <w:szCs w:val="22"/>
          <w:lang w:val="en-IE"/>
        </w:rPr>
        <w:t>planned</w:t>
      </w:r>
      <w:r w:rsidR="00CB2049" w:rsidRPr="00E77DD9">
        <w:rPr>
          <w:b w:val="0"/>
          <w:color w:val="auto"/>
          <w:sz w:val="22"/>
          <w:szCs w:val="22"/>
          <w:lang w:val="en-IE"/>
        </w:rPr>
        <w:t>.</w:t>
      </w:r>
      <w:r w:rsidR="00E77DD9">
        <w:rPr>
          <w:b w:val="0"/>
          <w:color w:val="auto"/>
          <w:sz w:val="22"/>
          <w:szCs w:val="22"/>
          <w:lang w:val="en-IE"/>
        </w:rPr>
        <w:t xml:space="preserve"> </w:t>
      </w:r>
      <w:r w:rsidR="00CB2049" w:rsidRPr="00E77DD9">
        <w:rPr>
          <w:b w:val="0"/>
          <w:color w:val="auto"/>
          <w:sz w:val="22"/>
          <w:szCs w:val="22"/>
          <w:lang w:val="en-IE"/>
        </w:rPr>
        <w:t xml:space="preserve">The strategy to improving energy sustainability is </w:t>
      </w:r>
      <w:r w:rsidR="00E77DD9">
        <w:rPr>
          <w:b w:val="0"/>
          <w:color w:val="auto"/>
          <w:sz w:val="22"/>
          <w:szCs w:val="22"/>
          <w:lang w:val="en-IE"/>
        </w:rPr>
        <w:t>as follows</w:t>
      </w:r>
      <w:r w:rsidR="00CB2049" w:rsidRPr="00E77DD9">
        <w:rPr>
          <w:b w:val="0"/>
          <w:color w:val="auto"/>
          <w:sz w:val="22"/>
          <w:szCs w:val="22"/>
          <w:lang w:val="en-IE"/>
        </w:rPr>
        <w:t>:</w:t>
      </w:r>
    </w:p>
    <w:p w14:paraId="5D7AAD1E" w14:textId="77777777" w:rsidR="00E77DD9" w:rsidRPr="00E77DD9" w:rsidRDefault="00E77DD9" w:rsidP="00CB2049">
      <w:pPr>
        <w:pStyle w:val="DeeStyle1"/>
        <w:rPr>
          <w:b w:val="0"/>
          <w:color w:val="auto"/>
          <w:sz w:val="22"/>
          <w:szCs w:val="22"/>
          <w:lang w:val="en-IE"/>
        </w:rPr>
      </w:pPr>
    </w:p>
    <w:p w14:paraId="5D7AAD1F" w14:textId="77777777" w:rsidR="00CB2049" w:rsidRPr="00E77DD9" w:rsidRDefault="00CB2049" w:rsidP="00E77DD9">
      <w:pPr>
        <w:pStyle w:val="DeeStyle1"/>
        <w:ind w:left="720" w:hanging="720"/>
        <w:rPr>
          <w:b w:val="0"/>
          <w:color w:val="auto"/>
          <w:sz w:val="22"/>
          <w:szCs w:val="22"/>
          <w:lang w:val="en-IE"/>
        </w:rPr>
      </w:pPr>
      <w:r w:rsidRPr="00E77DD9">
        <w:rPr>
          <w:b w:val="0"/>
          <w:color w:val="auto"/>
          <w:sz w:val="22"/>
          <w:szCs w:val="22"/>
          <w:lang w:val="en-IE"/>
        </w:rPr>
        <w:t xml:space="preserve">1. </w:t>
      </w:r>
      <w:r w:rsidR="00E77DD9">
        <w:rPr>
          <w:b w:val="0"/>
          <w:color w:val="auto"/>
          <w:sz w:val="22"/>
          <w:szCs w:val="22"/>
          <w:lang w:val="en-IE"/>
        </w:rPr>
        <w:tab/>
      </w:r>
      <w:r w:rsidRPr="00E77DD9">
        <w:rPr>
          <w:b w:val="0"/>
          <w:color w:val="auto"/>
          <w:sz w:val="22"/>
          <w:szCs w:val="22"/>
          <w:lang w:val="en-IE"/>
        </w:rPr>
        <w:t>Energy management: understand your</w:t>
      </w:r>
      <w:r w:rsidR="00E77DD9">
        <w:rPr>
          <w:b w:val="0"/>
          <w:color w:val="auto"/>
          <w:sz w:val="22"/>
          <w:szCs w:val="22"/>
          <w:lang w:val="en-IE"/>
        </w:rPr>
        <w:t xml:space="preserve"> existing energy use, and adopt </w:t>
      </w:r>
      <w:r w:rsidRPr="00E77DD9">
        <w:rPr>
          <w:b w:val="0"/>
          <w:color w:val="auto"/>
          <w:sz w:val="22"/>
          <w:szCs w:val="22"/>
          <w:lang w:val="en-IE"/>
        </w:rPr>
        <w:t>ongoing controls</w:t>
      </w:r>
    </w:p>
    <w:p w14:paraId="5D7AAD20" w14:textId="6D3F5E32" w:rsidR="00CB2049" w:rsidRPr="00E77DD9" w:rsidRDefault="00CB2049" w:rsidP="00E77DD9">
      <w:pPr>
        <w:pStyle w:val="DeeStyle1"/>
        <w:ind w:left="720" w:hanging="720"/>
        <w:rPr>
          <w:b w:val="0"/>
          <w:color w:val="auto"/>
          <w:sz w:val="22"/>
          <w:szCs w:val="22"/>
          <w:lang w:val="en-IE"/>
        </w:rPr>
      </w:pPr>
      <w:r w:rsidRPr="00E77DD9">
        <w:rPr>
          <w:b w:val="0"/>
          <w:color w:val="auto"/>
          <w:sz w:val="22"/>
          <w:szCs w:val="22"/>
          <w:lang w:val="en-IE"/>
        </w:rPr>
        <w:t xml:space="preserve">2. </w:t>
      </w:r>
      <w:r w:rsidR="00E77DD9">
        <w:rPr>
          <w:b w:val="0"/>
          <w:color w:val="auto"/>
          <w:sz w:val="22"/>
          <w:szCs w:val="22"/>
          <w:lang w:val="en-IE"/>
        </w:rPr>
        <w:tab/>
      </w:r>
      <w:r w:rsidRPr="00E77DD9">
        <w:rPr>
          <w:b w:val="0"/>
          <w:color w:val="auto"/>
          <w:sz w:val="22"/>
          <w:szCs w:val="22"/>
          <w:lang w:val="en-IE"/>
        </w:rPr>
        <w:t xml:space="preserve">Energy efficiency: </w:t>
      </w:r>
      <w:r w:rsidR="00422DBD" w:rsidRPr="00422DBD">
        <w:rPr>
          <w:b w:val="0"/>
          <w:color w:val="auto"/>
          <w:sz w:val="22"/>
          <w:szCs w:val="22"/>
          <w:lang w:val="en-IE"/>
        </w:rPr>
        <w:t xml:space="preserve">through onsite surveys </w:t>
      </w:r>
      <w:r w:rsidRPr="00E77DD9">
        <w:rPr>
          <w:b w:val="0"/>
          <w:color w:val="auto"/>
          <w:sz w:val="22"/>
          <w:szCs w:val="22"/>
          <w:lang w:val="en-IE"/>
        </w:rPr>
        <w:t>identify energy efficiency improveme</w:t>
      </w:r>
      <w:r w:rsidR="00422DBD">
        <w:rPr>
          <w:b w:val="0"/>
          <w:color w:val="auto"/>
          <w:sz w:val="22"/>
          <w:szCs w:val="22"/>
          <w:lang w:val="en-IE"/>
        </w:rPr>
        <w:t xml:space="preserve">nts to facilities, </w:t>
      </w:r>
      <w:proofErr w:type="gramStart"/>
      <w:r w:rsidR="00422DBD">
        <w:rPr>
          <w:b w:val="0"/>
          <w:color w:val="auto"/>
          <w:sz w:val="22"/>
          <w:szCs w:val="22"/>
          <w:lang w:val="en-IE"/>
        </w:rPr>
        <w:t>vehicles</w:t>
      </w:r>
      <w:proofErr w:type="gramEnd"/>
      <w:r w:rsidR="00422DBD">
        <w:rPr>
          <w:b w:val="0"/>
          <w:color w:val="auto"/>
          <w:sz w:val="22"/>
          <w:szCs w:val="22"/>
          <w:lang w:val="en-IE"/>
        </w:rPr>
        <w:t xml:space="preserve"> </w:t>
      </w:r>
      <w:r w:rsidR="00E77DD9">
        <w:rPr>
          <w:b w:val="0"/>
          <w:color w:val="auto"/>
          <w:sz w:val="22"/>
          <w:szCs w:val="22"/>
          <w:lang w:val="en-IE"/>
        </w:rPr>
        <w:t xml:space="preserve">and equipment </w:t>
      </w:r>
      <w:r w:rsidRPr="00E77DD9">
        <w:rPr>
          <w:b w:val="0"/>
          <w:color w:val="auto"/>
          <w:sz w:val="22"/>
          <w:szCs w:val="22"/>
          <w:lang w:val="en-IE"/>
        </w:rPr>
        <w:t>to reduce that usage</w:t>
      </w:r>
    </w:p>
    <w:p w14:paraId="5D7AAD21" w14:textId="77777777" w:rsidR="00E77DD9" w:rsidRDefault="00CB2049" w:rsidP="00AC0E4D">
      <w:pPr>
        <w:pStyle w:val="DeeStyle1"/>
        <w:ind w:left="720" w:hanging="720"/>
        <w:rPr>
          <w:b w:val="0"/>
          <w:color w:val="auto"/>
          <w:sz w:val="22"/>
          <w:szCs w:val="22"/>
          <w:lang w:val="en-IE"/>
        </w:rPr>
      </w:pPr>
      <w:r w:rsidRPr="00E77DD9">
        <w:rPr>
          <w:b w:val="0"/>
          <w:color w:val="auto"/>
          <w:sz w:val="22"/>
          <w:szCs w:val="22"/>
          <w:lang w:val="en-IE"/>
        </w:rPr>
        <w:t xml:space="preserve">3. </w:t>
      </w:r>
      <w:r w:rsidR="00E77DD9">
        <w:rPr>
          <w:b w:val="0"/>
          <w:color w:val="auto"/>
          <w:sz w:val="22"/>
          <w:szCs w:val="22"/>
          <w:lang w:val="en-IE"/>
        </w:rPr>
        <w:tab/>
      </w:r>
      <w:r w:rsidRPr="00E77DD9">
        <w:rPr>
          <w:b w:val="0"/>
          <w:color w:val="auto"/>
          <w:sz w:val="22"/>
          <w:szCs w:val="22"/>
          <w:lang w:val="en-IE"/>
        </w:rPr>
        <w:t>Renewable technologies: examine ren</w:t>
      </w:r>
      <w:r w:rsidR="00E77DD9">
        <w:rPr>
          <w:b w:val="0"/>
          <w:color w:val="auto"/>
          <w:sz w:val="22"/>
          <w:szCs w:val="22"/>
          <w:lang w:val="en-IE"/>
        </w:rPr>
        <w:t xml:space="preserve">ewable options when considering </w:t>
      </w:r>
      <w:r w:rsidRPr="00E77DD9">
        <w:rPr>
          <w:b w:val="0"/>
          <w:color w:val="auto"/>
          <w:sz w:val="22"/>
          <w:szCs w:val="22"/>
          <w:lang w:val="en-IE"/>
        </w:rPr>
        <w:t>how to meet</w:t>
      </w:r>
      <w:r w:rsidR="00E77DD9">
        <w:rPr>
          <w:b w:val="0"/>
          <w:color w:val="auto"/>
          <w:sz w:val="22"/>
          <w:szCs w:val="22"/>
          <w:lang w:val="en-IE"/>
        </w:rPr>
        <w:t xml:space="preserve"> </w:t>
      </w:r>
      <w:r w:rsidRPr="00E77DD9">
        <w:rPr>
          <w:b w:val="0"/>
          <w:color w:val="auto"/>
          <w:sz w:val="22"/>
          <w:szCs w:val="22"/>
          <w:lang w:val="en-IE"/>
        </w:rPr>
        <w:t>this reduced energy use</w:t>
      </w:r>
    </w:p>
    <w:p w14:paraId="5D7AAD22" w14:textId="77777777" w:rsidR="00AC0E4D" w:rsidRDefault="00AC0E4D" w:rsidP="00AC0E4D">
      <w:pPr>
        <w:pStyle w:val="DeeStyle1"/>
        <w:ind w:left="720" w:hanging="720"/>
        <w:rPr>
          <w:b w:val="0"/>
          <w:color w:val="auto"/>
          <w:sz w:val="22"/>
          <w:szCs w:val="22"/>
          <w:lang w:val="en-IE"/>
        </w:rPr>
      </w:pPr>
    </w:p>
    <w:p w14:paraId="5D7AAD23" w14:textId="77777777" w:rsidR="00791F4D" w:rsidRPr="0092269E" w:rsidRDefault="00357DFD" w:rsidP="006B1854">
      <w:pPr>
        <w:pStyle w:val="DeeStyle1"/>
        <w:rPr>
          <w:color w:val="auto"/>
          <w:sz w:val="22"/>
          <w:szCs w:val="22"/>
          <w:lang w:val="en-IE"/>
        </w:rPr>
      </w:pPr>
      <w:r w:rsidRPr="0092269E">
        <w:rPr>
          <w:color w:val="auto"/>
          <w:sz w:val="22"/>
          <w:szCs w:val="22"/>
          <w:lang w:val="en-IE"/>
        </w:rPr>
        <w:t>Energy (</w:t>
      </w:r>
      <w:r w:rsidR="00791F4D" w:rsidRPr="0092269E">
        <w:rPr>
          <w:color w:val="auto"/>
          <w:sz w:val="22"/>
          <w:szCs w:val="22"/>
          <w:lang w:val="en-IE"/>
        </w:rPr>
        <w:t>Transport</w:t>
      </w:r>
      <w:r w:rsidRPr="0092269E">
        <w:rPr>
          <w:color w:val="auto"/>
          <w:sz w:val="22"/>
          <w:szCs w:val="22"/>
          <w:lang w:val="en-IE"/>
        </w:rPr>
        <w:t>)</w:t>
      </w:r>
    </w:p>
    <w:p w14:paraId="5D7AAD24" w14:textId="77777777" w:rsidR="008A3906" w:rsidRPr="00CB2049" w:rsidRDefault="008A3906" w:rsidP="008A3906">
      <w:pPr>
        <w:pStyle w:val="DeeStyle1"/>
        <w:rPr>
          <w:b w:val="0"/>
          <w:color w:val="auto"/>
          <w:sz w:val="22"/>
          <w:szCs w:val="22"/>
          <w:lang w:val="en-IE"/>
        </w:rPr>
      </w:pPr>
      <w:r w:rsidRPr="00CB2049">
        <w:rPr>
          <w:b w:val="0"/>
          <w:color w:val="auto"/>
          <w:sz w:val="22"/>
          <w:szCs w:val="22"/>
          <w:lang w:val="en-IE"/>
        </w:rPr>
        <w:t>The SEAI’s Annual Report 2016 on Public Sector Efficiency Performance found</w:t>
      </w:r>
      <w:r w:rsidR="00553900" w:rsidRPr="00CB2049">
        <w:rPr>
          <w:b w:val="0"/>
          <w:color w:val="auto"/>
          <w:sz w:val="22"/>
          <w:szCs w:val="22"/>
          <w:lang w:val="en-IE"/>
        </w:rPr>
        <w:t xml:space="preserve"> </w:t>
      </w:r>
      <w:r w:rsidRPr="00CB2049">
        <w:rPr>
          <w:b w:val="0"/>
          <w:color w:val="auto"/>
          <w:sz w:val="22"/>
          <w:szCs w:val="22"/>
          <w:lang w:val="en-IE"/>
        </w:rPr>
        <w:t>that transport accounted for 2</w:t>
      </w:r>
      <w:r w:rsidR="00553900" w:rsidRPr="00CB2049">
        <w:rPr>
          <w:b w:val="0"/>
          <w:color w:val="auto"/>
          <w:sz w:val="22"/>
          <w:szCs w:val="22"/>
          <w:lang w:val="en-IE"/>
        </w:rPr>
        <w:t>3</w:t>
      </w:r>
      <w:r w:rsidRPr="00CB2049">
        <w:rPr>
          <w:b w:val="0"/>
          <w:color w:val="auto"/>
          <w:sz w:val="22"/>
          <w:szCs w:val="22"/>
          <w:lang w:val="en-IE"/>
        </w:rPr>
        <w:t>% of primary energy consumption in the public sector in 201</w:t>
      </w:r>
      <w:r w:rsidR="00553900" w:rsidRPr="00CB2049">
        <w:rPr>
          <w:b w:val="0"/>
          <w:color w:val="auto"/>
          <w:sz w:val="22"/>
          <w:szCs w:val="22"/>
          <w:lang w:val="en-IE"/>
        </w:rPr>
        <w:t>6</w:t>
      </w:r>
      <w:r w:rsidRPr="00CB2049">
        <w:rPr>
          <w:b w:val="0"/>
          <w:color w:val="auto"/>
          <w:sz w:val="22"/>
          <w:szCs w:val="22"/>
          <w:lang w:val="en-IE"/>
        </w:rPr>
        <w:t>.</w:t>
      </w:r>
      <w:r w:rsidR="00553900" w:rsidRPr="00CB2049">
        <w:rPr>
          <w:b w:val="0"/>
          <w:color w:val="auto"/>
          <w:sz w:val="22"/>
          <w:szCs w:val="22"/>
          <w:lang w:val="en-IE"/>
        </w:rPr>
        <w:t xml:space="preserve"> </w:t>
      </w:r>
      <w:proofErr w:type="gramStart"/>
      <w:r w:rsidRPr="00CB2049">
        <w:rPr>
          <w:b w:val="0"/>
          <w:color w:val="auto"/>
          <w:sz w:val="22"/>
          <w:szCs w:val="22"/>
          <w:lang w:val="en-IE"/>
        </w:rPr>
        <w:t>Therefore</w:t>
      </w:r>
      <w:proofErr w:type="gramEnd"/>
      <w:r w:rsidRPr="00CB2049">
        <w:rPr>
          <w:b w:val="0"/>
          <w:color w:val="auto"/>
          <w:sz w:val="22"/>
          <w:szCs w:val="22"/>
          <w:lang w:val="en-IE"/>
        </w:rPr>
        <w:t xml:space="preserve"> public sector transport fleets account for a very significant proportion of expenditure,</w:t>
      </w:r>
      <w:r w:rsidR="00553900" w:rsidRPr="00CB2049">
        <w:rPr>
          <w:b w:val="0"/>
          <w:color w:val="auto"/>
          <w:sz w:val="22"/>
          <w:szCs w:val="22"/>
          <w:lang w:val="en-IE"/>
        </w:rPr>
        <w:t xml:space="preserve"> </w:t>
      </w:r>
      <w:r w:rsidRPr="00CB2049">
        <w:rPr>
          <w:b w:val="0"/>
          <w:color w:val="auto"/>
          <w:sz w:val="22"/>
          <w:szCs w:val="22"/>
          <w:lang w:val="en-IE"/>
        </w:rPr>
        <w:t>and emissions, in the public sector. As an area spanning the public sector, better transport</w:t>
      </w:r>
      <w:r w:rsidR="00553900" w:rsidRPr="00CB2049">
        <w:rPr>
          <w:b w:val="0"/>
          <w:color w:val="auto"/>
          <w:sz w:val="22"/>
          <w:szCs w:val="22"/>
          <w:lang w:val="en-IE"/>
        </w:rPr>
        <w:t xml:space="preserve"> </w:t>
      </w:r>
      <w:r w:rsidRPr="00CB2049">
        <w:rPr>
          <w:b w:val="0"/>
          <w:color w:val="auto"/>
          <w:sz w:val="22"/>
          <w:szCs w:val="22"/>
          <w:lang w:val="en-IE"/>
        </w:rPr>
        <w:t>energy management through actions, such as ensuring energy efficiency criteria are a priority</w:t>
      </w:r>
      <w:r w:rsidR="00553900" w:rsidRPr="00CB2049">
        <w:rPr>
          <w:b w:val="0"/>
          <w:color w:val="auto"/>
          <w:sz w:val="22"/>
          <w:szCs w:val="22"/>
          <w:lang w:val="en-IE"/>
        </w:rPr>
        <w:t xml:space="preserve"> </w:t>
      </w:r>
      <w:r w:rsidRPr="00CB2049">
        <w:rPr>
          <w:b w:val="0"/>
          <w:color w:val="auto"/>
          <w:sz w:val="22"/>
          <w:szCs w:val="22"/>
          <w:lang w:val="en-IE"/>
        </w:rPr>
        <w:t xml:space="preserve">in fleet </w:t>
      </w:r>
      <w:r w:rsidR="00CB2049" w:rsidRPr="00CB2049">
        <w:rPr>
          <w:b w:val="0"/>
          <w:color w:val="auto"/>
          <w:sz w:val="22"/>
          <w:szCs w:val="22"/>
          <w:lang w:val="en-IE"/>
        </w:rPr>
        <w:t>replacement</w:t>
      </w:r>
      <w:r w:rsidRPr="00CB2049">
        <w:rPr>
          <w:b w:val="0"/>
          <w:color w:val="auto"/>
          <w:sz w:val="22"/>
          <w:szCs w:val="22"/>
          <w:lang w:val="en-IE"/>
        </w:rPr>
        <w:t xml:space="preserve"> can deliver real financial savings and make an important contribution to</w:t>
      </w:r>
      <w:r w:rsidR="00553900" w:rsidRPr="00CB2049">
        <w:rPr>
          <w:b w:val="0"/>
          <w:color w:val="auto"/>
          <w:sz w:val="22"/>
          <w:szCs w:val="22"/>
          <w:lang w:val="en-IE"/>
        </w:rPr>
        <w:t xml:space="preserve"> </w:t>
      </w:r>
      <w:r w:rsidRPr="00CB2049">
        <w:rPr>
          <w:b w:val="0"/>
          <w:color w:val="auto"/>
          <w:sz w:val="22"/>
          <w:szCs w:val="22"/>
          <w:lang w:val="en-IE"/>
        </w:rPr>
        <w:t>reducing CO</w:t>
      </w:r>
      <w:r w:rsidRPr="00CB2049">
        <w:rPr>
          <w:b w:val="0"/>
          <w:color w:val="auto"/>
          <w:sz w:val="22"/>
          <w:szCs w:val="22"/>
          <w:vertAlign w:val="subscript"/>
          <w:lang w:val="en-IE"/>
        </w:rPr>
        <w:t>2</w:t>
      </w:r>
      <w:r w:rsidRPr="00CB2049">
        <w:rPr>
          <w:b w:val="0"/>
          <w:color w:val="auto"/>
          <w:sz w:val="22"/>
          <w:szCs w:val="22"/>
          <w:lang w:val="en-IE"/>
        </w:rPr>
        <w:t xml:space="preserve"> emissions.</w:t>
      </w:r>
    </w:p>
    <w:p w14:paraId="5D7AAD25" w14:textId="77777777" w:rsidR="00CB2049" w:rsidRDefault="00CB2049" w:rsidP="008A3906">
      <w:pPr>
        <w:pStyle w:val="DeeStyle1"/>
        <w:rPr>
          <w:b w:val="0"/>
          <w:color w:val="auto"/>
          <w:sz w:val="22"/>
          <w:szCs w:val="22"/>
          <w:lang w:val="en-IE"/>
        </w:rPr>
      </w:pPr>
    </w:p>
    <w:p w14:paraId="5D7AAD26" w14:textId="77777777" w:rsidR="00C613B2" w:rsidRDefault="00C613B2" w:rsidP="00C613B2">
      <w:pPr>
        <w:pStyle w:val="DeeStyle1"/>
        <w:rPr>
          <w:b w:val="0"/>
          <w:color w:val="auto"/>
          <w:sz w:val="22"/>
          <w:szCs w:val="22"/>
          <w:lang w:val="en-IE"/>
        </w:rPr>
      </w:pPr>
      <w:r w:rsidRPr="00C613B2">
        <w:rPr>
          <w:b w:val="0"/>
          <w:color w:val="auto"/>
          <w:sz w:val="22"/>
          <w:szCs w:val="22"/>
          <w:lang w:val="en-IE"/>
        </w:rPr>
        <w:t>It makes sound energy management, and fin</w:t>
      </w:r>
      <w:r>
        <w:rPr>
          <w:b w:val="0"/>
          <w:color w:val="auto"/>
          <w:sz w:val="22"/>
          <w:szCs w:val="22"/>
          <w:lang w:val="en-IE"/>
        </w:rPr>
        <w:t xml:space="preserve">ancial, sense for public bodies </w:t>
      </w:r>
      <w:r w:rsidRPr="00C613B2">
        <w:rPr>
          <w:b w:val="0"/>
          <w:color w:val="auto"/>
          <w:sz w:val="22"/>
          <w:szCs w:val="22"/>
          <w:lang w:val="en-IE"/>
        </w:rPr>
        <w:t>with large transport</w:t>
      </w:r>
      <w:r>
        <w:rPr>
          <w:b w:val="0"/>
          <w:color w:val="auto"/>
          <w:sz w:val="22"/>
          <w:szCs w:val="22"/>
          <w:lang w:val="en-IE"/>
        </w:rPr>
        <w:t xml:space="preserve"> </w:t>
      </w:r>
      <w:r w:rsidRPr="00C613B2">
        <w:rPr>
          <w:b w:val="0"/>
          <w:color w:val="auto"/>
          <w:sz w:val="22"/>
          <w:szCs w:val="22"/>
          <w:lang w:val="en-IE"/>
        </w:rPr>
        <w:t>fleets (either operational vehicles or public transport) to make energy efficiency central to their</w:t>
      </w:r>
      <w:r>
        <w:rPr>
          <w:b w:val="0"/>
          <w:color w:val="auto"/>
          <w:sz w:val="22"/>
          <w:szCs w:val="22"/>
          <w:lang w:val="en-IE"/>
        </w:rPr>
        <w:t xml:space="preserve"> </w:t>
      </w:r>
      <w:r w:rsidRPr="00C613B2">
        <w:rPr>
          <w:b w:val="0"/>
          <w:color w:val="auto"/>
          <w:sz w:val="22"/>
          <w:szCs w:val="22"/>
          <w:lang w:val="en-IE"/>
        </w:rPr>
        <w:t>flee</w:t>
      </w:r>
      <w:r>
        <w:rPr>
          <w:b w:val="0"/>
          <w:color w:val="auto"/>
          <w:sz w:val="22"/>
          <w:szCs w:val="22"/>
          <w:lang w:val="en-IE"/>
        </w:rPr>
        <w:t xml:space="preserve">t management. Therefore, public </w:t>
      </w:r>
      <w:r w:rsidRPr="00C613B2">
        <w:rPr>
          <w:b w:val="0"/>
          <w:color w:val="auto"/>
          <w:sz w:val="22"/>
          <w:szCs w:val="22"/>
          <w:lang w:val="en-IE"/>
        </w:rPr>
        <w:t>sector bodies with fleets of 10 vehicles or more should</w:t>
      </w:r>
      <w:r>
        <w:rPr>
          <w:b w:val="0"/>
          <w:color w:val="auto"/>
          <w:sz w:val="22"/>
          <w:szCs w:val="22"/>
          <w:lang w:val="en-IE"/>
        </w:rPr>
        <w:t xml:space="preserve"> </w:t>
      </w:r>
      <w:r w:rsidRPr="00C613B2">
        <w:rPr>
          <w:b w:val="0"/>
          <w:color w:val="auto"/>
          <w:sz w:val="22"/>
          <w:szCs w:val="22"/>
          <w:lang w:val="en-IE"/>
        </w:rPr>
        <w:t>undertake a transport specific energy audit as part of their wider energy management planning</w:t>
      </w:r>
      <w:r>
        <w:rPr>
          <w:b w:val="0"/>
          <w:color w:val="auto"/>
          <w:sz w:val="22"/>
          <w:szCs w:val="22"/>
          <w:lang w:val="en-IE"/>
        </w:rPr>
        <w:t xml:space="preserve"> </w:t>
      </w:r>
      <w:r w:rsidRPr="00C613B2">
        <w:rPr>
          <w:b w:val="0"/>
          <w:color w:val="auto"/>
          <w:sz w:val="22"/>
          <w:szCs w:val="22"/>
          <w:lang w:val="en-IE"/>
        </w:rPr>
        <w:t>process.</w:t>
      </w:r>
      <w:r>
        <w:rPr>
          <w:b w:val="0"/>
          <w:color w:val="auto"/>
          <w:sz w:val="22"/>
          <w:szCs w:val="22"/>
          <w:lang w:val="en-IE"/>
        </w:rPr>
        <w:t xml:space="preserve"> </w:t>
      </w:r>
      <w:r w:rsidRPr="00C613B2">
        <w:rPr>
          <w:b w:val="0"/>
          <w:color w:val="auto"/>
          <w:sz w:val="22"/>
          <w:szCs w:val="22"/>
          <w:lang w:val="en-IE"/>
        </w:rPr>
        <w:t xml:space="preserve">They should also undertake a vehicle life span cost analysis as part </w:t>
      </w:r>
      <w:r w:rsidRPr="00C613B2">
        <w:rPr>
          <w:b w:val="0"/>
          <w:color w:val="auto"/>
          <w:sz w:val="22"/>
          <w:szCs w:val="22"/>
          <w:lang w:val="en-IE"/>
        </w:rPr>
        <w:lastRenderedPageBreak/>
        <w:t>of the requirement</w:t>
      </w:r>
      <w:r>
        <w:rPr>
          <w:b w:val="0"/>
          <w:color w:val="auto"/>
          <w:sz w:val="22"/>
          <w:szCs w:val="22"/>
          <w:lang w:val="en-IE"/>
        </w:rPr>
        <w:t xml:space="preserve"> </w:t>
      </w:r>
      <w:r w:rsidRPr="00C613B2">
        <w:rPr>
          <w:b w:val="0"/>
          <w:color w:val="auto"/>
          <w:sz w:val="22"/>
          <w:szCs w:val="22"/>
          <w:lang w:val="en-IE"/>
        </w:rPr>
        <w:t>on them to produce an annual Energy Management Plan to ensure that appropriate vehicles</w:t>
      </w:r>
      <w:r>
        <w:rPr>
          <w:b w:val="0"/>
          <w:color w:val="auto"/>
          <w:sz w:val="22"/>
          <w:szCs w:val="22"/>
          <w:lang w:val="en-IE"/>
        </w:rPr>
        <w:t xml:space="preserve"> </w:t>
      </w:r>
      <w:r w:rsidRPr="00C613B2">
        <w:rPr>
          <w:b w:val="0"/>
          <w:color w:val="auto"/>
          <w:sz w:val="22"/>
          <w:szCs w:val="22"/>
          <w:lang w:val="en-IE"/>
        </w:rPr>
        <w:t>are match</w:t>
      </w:r>
      <w:r>
        <w:rPr>
          <w:b w:val="0"/>
          <w:color w:val="auto"/>
          <w:sz w:val="22"/>
          <w:szCs w:val="22"/>
          <w:lang w:val="en-IE"/>
        </w:rPr>
        <w:t xml:space="preserve">ed to task in the public fleet. </w:t>
      </w:r>
      <w:r w:rsidRPr="00C613B2">
        <w:rPr>
          <w:b w:val="0"/>
          <w:color w:val="auto"/>
          <w:sz w:val="22"/>
          <w:szCs w:val="22"/>
          <w:lang w:val="en-IE"/>
        </w:rPr>
        <w:t>Relevant public bodies are required to publish</w:t>
      </w:r>
      <w:r>
        <w:rPr>
          <w:b w:val="0"/>
          <w:color w:val="auto"/>
          <w:sz w:val="22"/>
          <w:szCs w:val="22"/>
          <w:lang w:val="en-IE"/>
        </w:rPr>
        <w:t xml:space="preserve"> </w:t>
      </w:r>
      <w:r w:rsidRPr="00C613B2">
        <w:rPr>
          <w:b w:val="0"/>
          <w:color w:val="auto"/>
          <w:sz w:val="22"/>
          <w:szCs w:val="22"/>
          <w:lang w:val="en-IE"/>
        </w:rPr>
        <w:t>the findings of their analysis in their Annual Report and ensure that these results inform</w:t>
      </w:r>
      <w:r>
        <w:rPr>
          <w:b w:val="0"/>
          <w:color w:val="auto"/>
          <w:sz w:val="22"/>
          <w:szCs w:val="22"/>
          <w:lang w:val="en-IE"/>
        </w:rPr>
        <w:t xml:space="preserve"> </w:t>
      </w:r>
      <w:r w:rsidRPr="00C613B2">
        <w:rPr>
          <w:b w:val="0"/>
          <w:color w:val="auto"/>
          <w:sz w:val="22"/>
          <w:szCs w:val="22"/>
          <w:lang w:val="en-IE"/>
        </w:rPr>
        <w:t>procurement of new fleet.</w:t>
      </w:r>
      <w:r>
        <w:rPr>
          <w:b w:val="0"/>
          <w:color w:val="auto"/>
          <w:sz w:val="22"/>
          <w:szCs w:val="22"/>
          <w:lang w:val="en-IE"/>
        </w:rPr>
        <w:t xml:space="preserve"> </w:t>
      </w:r>
      <w:r w:rsidRPr="00C613B2">
        <w:rPr>
          <w:b w:val="0"/>
          <w:color w:val="auto"/>
          <w:sz w:val="22"/>
          <w:szCs w:val="22"/>
          <w:lang w:val="en-IE"/>
        </w:rPr>
        <w:t>Public sector service fleets (excluding school transport), travelling more than 5000 km per</w:t>
      </w:r>
      <w:r>
        <w:rPr>
          <w:b w:val="0"/>
          <w:color w:val="auto"/>
          <w:sz w:val="22"/>
          <w:szCs w:val="22"/>
          <w:lang w:val="en-IE"/>
        </w:rPr>
        <w:t xml:space="preserve"> </w:t>
      </w:r>
      <w:r w:rsidRPr="00C613B2">
        <w:rPr>
          <w:b w:val="0"/>
          <w:color w:val="auto"/>
          <w:sz w:val="22"/>
          <w:szCs w:val="22"/>
          <w:lang w:val="en-IE"/>
        </w:rPr>
        <w:t>year should have a telematics or tracking system fitted to optimise journeys and eliminate</w:t>
      </w:r>
      <w:r>
        <w:rPr>
          <w:b w:val="0"/>
          <w:color w:val="auto"/>
          <w:sz w:val="22"/>
          <w:szCs w:val="22"/>
          <w:lang w:val="en-IE"/>
        </w:rPr>
        <w:t xml:space="preserve"> </w:t>
      </w:r>
      <w:r w:rsidRPr="00C613B2">
        <w:rPr>
          <w:b w:val="0"/>
          <w:color w:val="auto"/>
          <w:sz w:val="22"/>
          <w:szCs w:val="22"/>
          <w:lang w:val="en-IE"/>
        </w:rPr>
        <w:t>unnecessary journeys.</w:t>
      </w:r>
    </w:p>
    <w:p w14:paraId="5D7AAD27" w14:textId="77777777" w:rsidR="00C613B2" w:rsidRDefault="00C613B2" w:rsidP="00C613B2">
      <w:pPr>
        <w:pStyle w:val="DeeStyle1"/>
        <w:rPr>
          <w:b w:val="0"/>
          <w:color w:val="auto"/>
          <w:sz w:val="22"/>
          <w:szCs w:val="22"/>
          <w:lang w:val="en-IE"/>
        </w:rPr>
      </w:pPr>
    </w:p>
    <w:p w14:paraId="5D7AAD28" w14:textId="77777777" w:rsidR="00CB2049" w:rsidRPr="00C613B2" w:rsidRDefault="008A3906" w:rsidP="008A3906">
      <w:pPr>
        <w:pStyle w:val="DeeStyle1"/>
        <w:rPr>
          <w:b w:val="0"/>
          <w:color w:val="auto"/>
          <w:sz w:val="22"/>
          <w:szCs w:val="22"/>
          <w:lang w:val="en-IE"/>
        </w:rPr>
      </w:pPr>
      <w:r w:rsidRPr="00CB2049">
        <w:rPr>
          <w:b w:val="0"/>
          <w:color w:val="auto"/>
          <w:sz w:val="22"/>
          <w:szCs w:val="22"/>
          <w:lang w:val="en-IE"/>
        </w:rPr>
        <w:t>Efficient driving behaviour has been shown to improve trans</w:t>
      </w:r>
      <w:r w:rsidR="00553900" w:rsidRPr="00CB2049">
        <w:rPr>
          <w:b w:val="0"/>
          <w:color w:val="auto"/>
          <w:sz w:val="22"/>
          <w:szCs w:val="22"/>
          <w:lang w:val="en-IE"/>
        </w:rPr>
        <w:t xml:space="preserve">port fuel efficiency by between </w:t>
      </w:r>
      <w:r w:rsidRPr="00CB2049">
        <w:rPr>
          <w:b w:val="0"/>
          <w:color w:val="auto"/>
          <w:sz w:val="22"/>
          <w:szCs w:val="22"/>
          <w:lang w:val="en-IE"/>
        </w:rPr>
        <w:t>5% and 10%. Many public sector bodies with transport fleets already provide ‘Eco-driving’</w:t>
      </w:r>
      <w:r w:rsidR="00553900" w:rsidRPr="00CB2049">
        <w:rPr>
          <w:b w:val="0"/>
          <w:color w:val="auto"/>
          <w:sz w:val="22"/>
          <w:szCs w:val="22"/>
          <w:lang w:val="en-IE"/>
        </w:rPr>
        <w:t xml:space="preserve"> </w:t>
      </w:r>
      <w:r w:rsidRPr="00CB2049">
        <w:rPr>
          <w:b w:val="0"/>
          <w:color w:val="auto"/>
          <w:sz w:val="22"/>
          <w:szCs w:val="22"/>
          <w:lang w:val="en-IE"/>
        </w:rPr>
        <w:t>training for their emplo</w:t>
      </w:r>
      <w:r w:rsidR="00553900" w:rsidRPr="00CB2049">
        <w:rPr>
          <w:b w:val="0"/>
          <w:color w:val="auto"/>
          <w:sz w:val="22"/>
          <w:szCs w:val="22"/>
          <w:lang w:val="en-IE"/>
        </w:rPr>
        <w:t xml:space="preserve">yees and have driver management </w:t>
      </w:r>
      <w:r w:rsidRPr="00CB2049">
        <w:rPr>
          <w:b w:val="0"/>
          <w:color w:val="auto"/>
          <w:sz w:val="22"/>
          <w:szCs w:val="22"/>
          <w:lang w:val="en-IE"/>
        </w:rPr>
        <w:t>processes in place. Advice on</w:t>
      </w:r>
      <w:r w:rsidR="00553900" w:rsidRPr="00CB2049">
        <w:rPr>
          <w:b w:val="0"/>
          <w:color w:val="auto"/>
          <w:sz w:val="22"/>
          <w:szCs w:val="22"/>
          <w:lang w:val="en-IE"/>
        </w:rPr>
        <w:t xml:space="preserve"> </w:t>
      </w:r>
      <w:r w:rsidRPr="00CB2049">
        <w:rPr>
          <w:b w:val="0"/>
          <w:color w:val="auto"/>
          <w:sz w:val="22"/>
          <w:szCs w:val="22"/>
          <w:lang w:val="en-IE"/>
        </w:rPr>
        <w:t>how to do this is available from the SEAI.</w:t>
      </w:r>
      <w:r w:rsidR="00553900" w:rsidRPr="00CB2049">
        <w:rPr>
          <w:b w:val="0"/>
          <w:color w:val="auto"/>
          <w:sz w:val="22"/>
          <w:szCs w:val="22"/>
          <w:lang w:val="en-IE"/>
        </w:rPr>
        <w:t xml:space="preserve"> </w:t>
      </w:r>
      <w:r w:rsidRPr="00CB2049">
        <w:rPr>
          <w:b w:val="0"/>
          <w:color w:val="auto"/>
          <w:sz w:val="22"/>
          <w:szCs w:val="22"/>
          <w:lang w:val="en-IE"/>
        </w:rPr>
        <w:t>Other innovative measures to improve efficiency in, and reduce emissions from, public sector</w:t>
      </w:r>
      <w:r w:rsidR="00553900" w:rsidRPr="00CB2049">
        <w:rPr>
          <w:b w:val="0"/>
          <w:color w:val="auto"/>
          <w:sz w:val="22"/>
          <w:szCs w:val="22"/>
          <w:lang w:val="en-IE"/>
        </w:rPr>
        <w:t xml:space="preserve"> </w:t>
      </w:r>
      <w:r w:rsidRPr="00CB2049">
        <w:rPr>
          <w:b w:val="0"/>
          <w:color w:val="auto"/>
          <w:sz w:val="22"/>
          <w:szCs w:val="22"/>
          <w:lang w:val="en-IE"/>
        </w:rPr>
        <w:t>fleets will be identified in consultation with key public sector bodies and stakeholders, primarily</w:t>
      </w:r>
      <w:r w:rsidR="00553900" w:rsidRPr="00CB2049">
        <w:rPr>
          <w:b w:val="0"/>
          <w:color w:val="auto"/>
          <w:sz w:val="22"/>
          <w:szCs w:val="22"/>
          <w:lang w:val="en-IE"/>
        </w:rPr>
        <w:t xml:space="preserve"> </w:t>
      </w:r>
      <w:r w:rsidRPr="00CB2049">
        <w:rPr>
          <w:b w:val="0"/>
          <w:color w:val="auto"/>
          <w:sz w:val="22"/>
          <w:szCs w:val="22"/>
          <w:lang w:val="en-IE"/>
        </w:rPr>
        <w:t>through accelerating the introduction of more energy efficient and alternative fuelled vehicles</w:t>
      </w:r>
      <w:r w:rsidR="00553900" w:rsidRPr="00CB2049">
        <w:rPr>
          <w:b w:val="0"/>
          <w:color w:val="auto"/>
          <w:sz w:val="22"/>
          <w:szCs w:val="22"/>
          <w:lang w:val="en-IE"/>
        </w:rPr>
        <w:t xml:space="preserve"> </w:t>
      </w:r>
      <w:r w:rsidRPr="00CB2049">
        <w:rPr>
          <w:b w:val="0"/>
          <w:color w:val="auto"/>
          <w:sz w:val="22"/>
          <w:szCs w:val="22"/>
          <w:lang w:val="en-IE"/>
        </w:rPr>
        <w:t>across the public sector.</w:t>
      </w:r>
      <w:r w:rsidR="00CB2049" w:rsidRPr="00CB2049">
        <w:rPr>
          <w:b w:val="0"/>
          <w:color w:val="auto"/>
          <w:sz w:val="22"/>
          <w:szCs w:val="22"/>
          <w:lang w:val="en-IE"/>
        </w:rPr>
        <w:t xml:space="preserve"> </w:t>
      </w:r>
      <w:r w:rsidRPr="00CB2049">
        <w:rPr>
          <w:b w:val="0"/>
          <w:color w:val="auto"/>
          <w:sz w:val="22"/>
          <w:szCs w:val="22"/>
          <w:lang w:val="en-IE"/>
        </w:rPr>
        <w:t>The National Transport Authority (NTA) and DTTAS will a</w:t>
      </w:r>
      <w:r w:rsidR="00553900" w:rsidRPr="00CB2049">
        <w:rPr>
          <w:b w:val="0"/>
          <w:color w:val="auto"/>
          <w:sz w:val="22"/>
          <w:szCs w:val="22"/>
          <w:lang w:val="en-IE"/>
        </w:rPr>
        <w:t xml:space="preserve">lso consider options for </w:t>
      </w:r>
      <w:r w:rsidRPr="00CB2049">
        <w:rPr>
          <w:b w:val="0"/>
          <w:color w:val="auto"/>
          <w:sz w:val="22"/>
          <w:szCs w:val="22"/>
          <w:lang w:val="en-IE"/>
        </w:rPr>
        <w:t>improving</w:t>
      </w:r>
      <w:r w:rsidR="00553900" w:rsidRPr="00CB2049">
        <w:rPr>
          <w:b w:val="0"/>
          <w:color w:val="auto"/>
          <w:sz w:val="22"/>
          <w:szCs w:val="22"/>
          <w:lang w:val="en-IE"/>
        </w:rPr>
        <w:t xml:space="preserve"> </w:t>
      </w:r>
      <w:r w:rsidRPr="00CB2049">
        <w:rPr>
          <w:b w:val="0"/>
          <w:color w:val="auto"/>
          <w:sz w:val="22"/>
          <w:szCs w:val="22"/>
          <w:lang w:val="en-IE"/>
        </w:rPr>
        <w:t>efficiency in the publicly funded public transport fleets including potential investment in new</w:t>
      </w:r>
      <w:r w:rsidR="00553900" w:rsidRPr="00CB2049">
        <w:rPr>
          <w:b w:val="0"/>
          <w:color w:val="auto"/>
          <w:sz w:val="22"/>
          <w:szCs w:val="22"/>
          <w:lang w:val="en-IE"/>
        </w:rPr>
        <w:t xml:space="preserve"> </w:t>
      </w:r>
      <w:r w:rsidRPr="00CB2049">
        <w:rPr>
          <w:b w:val="0"/>
          <w:color w:val="auto"/>
          <w:sz w:val="22"/>
          <w:szCs w:val="22"/>
          <w:lang w:val="en-IE"/>
        </w:rPr>
        <w:t>engine technologies and driver advisory systems.</w:t>
      </w:r>
    </w:p>
    <w:p w14:paraId="5D7AAD29" w14:textId="77777777" w:rsidR="00CB2049" w:rsidRDefault="00CB2049" w:rsidP="008A3906">
      <w:pPr>
        <w:pStyle w:val="DeeStyle1"/>
        <w:rPr>
          <w:b w:val="0"/>
          <w:color w:val="auto"/>
          <w:szCs w:val="20"/>
          <w:lang w:val="en-IE"/>
        </w:rPr>
      </w:pPr>
    </w:p>
    <w:p w14:paraId="5D7AAD2A" w14:textId="77777777" w:rsidR="00AC0E4D" w:rsidRDefault="00C613B2" w:rsidP="00C613B2">
      <w:pPr>
        <w:pStyle w:val="DeeStyle1"/>
        <w:rPr>
          <w:b w:val="0"/>
          <w:color w:val="auto"/>
          <w:sz w:val="22"/>
          <w:szCs w:val="22"/>
          <w:lang w:val="en-IE"/>
        </w:rPr>
      </w:pPr>
      <w:r w:rsidRPr="00AC0E4D">
        <w:rPr>
          <w:b w:val="0"/>
          <w:color w:val="auto"/>
          <w:sz w:val="22"/>
          <w:szCs w:val="22"/>
          <w:lang w:val="en-IE"/>
        </w:rPr>
        <w:t>The public sector can influence energy usage through developing Workplace Travel Plans (WTPs) with support, as required, from the NTA. A WTP is a package of measures aimed at supporting sustainable travel for work-related journeys. It comprises actions to promote walking, cycling, public transport, car-sharing, modal shift, the use of technology instead of travel, and flexible working practices. It has been recommended by DCCAE (Public Sector Energy Efficiency Strategy) that all public sector bodies develop a WTP and establish a review mechanism. The emphasis in WTP’s on physical exercise is a good example of how energy efficiency could link with Government objectives to improve public health and wellbeing such as the Healthy Ireland Initiative.</w:t>
      </w:r>
    </w:p>
    <w:p w14:paraId="5D7AAD2B" w14:textId="77777777" w:rsidR="007341EE" w:rsidRDefault="007341EE" w:rsidP="007341EE">
      <w:pPr>
        <w:pStyle w:val="DeeStyle1"/>
        <w:jc w:val="center"/>
        <w:rPr>
          <w:b w:val="0"/>
          <w:color w:val="auto"/>
          <w:sz w:val="22"/>
          <w:szCs w:val="22"/>
          <w:lang w:val="en-IE"/>
        </w:rPr>
      </w:pPr>
      <w:r>
        <w:rPr>
          <w:noProof/>
          <w:lang w:val="en-IE" w:eastAsia="en-IE"/>
        </w:rPr>
        <w:lastRenderedPageBreak/>
        <w:drawing>
          <wp:inline distT="0" distB="0" distL="0" distR="0" wp14:anchorId="5D7AAD7B" wp14:editId="5D7AAD7C">
            <wp:extent cx="4125432" cy="2580599"/>
            <wp:effectExtent l="0" t="0" r="889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25432" cy="2580599"/>
                    </a:xfrm>
                    <a:prstGeom prst="rect">
                      <a:avLst/>
                    </a:prstGeom>
                  </pic:spPr>
                </pic:pic>
              </a:graphicData>
            </a:graphic>
          </wp:inline>
        </w:drawing>
      </w:r>
    </w:p>
    <w:p w14:paraId="5D7AAD2C" w14:textId="77777777" w:rsidR="007341EE" w:rsidRDefault="007341EE" w:rsidP="007341EE">
      <w:pPr>
        <w:pStyle w:val="DeeStyle1"/>
        <w:jc w:val="center"/>
        <w:rPr>
          <w:b w:val="0"/>
          <w:color w:val="auto"/>
          <w:sz w:val="22"/>
          <w:szCs w:val="22"/>
          <w:lang w:val="en-IE"/>
        </w:rPr>
      </w:pPr>
    </w:p>
    <w:p w14:paraId="5D7AAD2D" w14:textId="77777777" w:rsidR="00AC0E4D" w:rsidRPr="00AC0E4D" w:rsidRDefault="00AC0E4D" w:rsidP="00AC0E4D">
      <w:pPr>
        <w:pStyle w:val="DeeStyle1"/>
        <w:jc w:val="center"/>
        <w:rPr>
          <w:b w:val="0"/>
          <w:color w:val="auto"/>
          <w:sz w:val="22"/>
          <w:szCs w:val="22"/>
          <w:lang w:val="en-IE"/>
        </w:rPr>
      </w:pPr>
    </w:p>
    <w:p w14:paraId="5D7AAD2E" w14:textId="77777777" w:rsidR="00C613B2" w:rsidRDefault="00C613B2" w:rsidP="00CB2049">
      <w:pPr>
        <w:pStyle w:val="DeeStyle1"/>
        <w:rPr>
          <w:color w:val="auto"/>
          <w:sz w:val="22"/>
          <w:szCs w:val="22"/>
          <w:lang w:val="en-IE"/>
        </w:rPr>
      </w:pPr>
    </w:p>
    <w:p w14:paraId="5D7AAD2F" w14:textId="77777777" w:rsidR="00D764AF" w:rsidRPr="00CB2049" w:rsidRDefault="00D764AF" w:rsidP="00CB2049">
      <w:pPr>
        <w:pStyle w:val="DeeStyle1"/>
        <w:rPr>
          <w:color w:val="auto"/>
          <w:sz w:val="22"/>
          <w:szCs w:val="22"/>
          <w:lang w:val="en-IE"/>
        </w:rPr>
      </w:pPr>
      <w:r w:rsidRPr="00CB2049">
        <w:rPr>
          <w:color w:val="auto"/>
          <w:sz w:val="22"/>
          <w:szCs w:val="22"/>
          <w:lang w:val="en-IE"/>
        </w:rPr>
        <w:t xml:space="preserve">Water </w:t>
      </w:r>
      <w:r w:rsidR="00F601A0">
        <w:rPr>
          <w:color w:val="auto"/>
          <w:sz w:val="22"/>
          <w:szCs w:val="22"/>
          <w:lang w:val="en-IE"/>
        </w:rPr>
        <w:t>and Waste</w:t>
      </w:r>
    </w:p>
    <w:p w14:paraId="5D7AAD30" w14:textId="77777777" w:rsidR="006B1854" w:rsidRDefault="0092269E" w:rsidP="00D51F9D">
      <w:pPr>
        <w:pStyle w:val="DeeStyle1"/>
        <w:rPr>
          <w:b w:val="0"/>
          <w:color w:val="auto"/>
          <w:sz w:val="22"/>
          <w:szCs w:val="22"/>
          <w:lang w:val="en-IE"/>
        </w:rPr>
      </w:pPr>
      <w:r w:rsidRPr="0092269E">
        <w:rPr>
          <w:b w:val="0"/>
          <w:color w:val="auto"/>
          <w:sz w:val="22"/>
          <w:szCs w:val="22"/>
          <w:lang w:val="en-IE"/>
        </w:rPr>
        <w:t xml:space="preserve">The </w:t>
      </w:r>
      <w:r w:rsidR="00415C9E">
        <w:rPr>
          <w:b w:val="0"/>
          <w:color w:val="auto"/>
          <w:sz w:val="22"/>
          <w:szCs w:val="22"/>
          <w:lang w:val="en-IE"/>
        </w:rPr>
        <w:t>processes around the collection and</w:t>
      </w:r>
      <w:r w:rsidRPr="0092269E">
        <w:rPr>
          <w:b w:val="0"/>
          <w:color w:val="auto"/>
          <w:sz w:val="22"/>
          <w:szCs w:val="22"/>
          <w:lang w:val="en-IE"/>
        </w:rPr>
        <w:t xml:space="preserve"> treatment of water</w:t>
      </w:r>
      <w:r w:rsidR="008A3906">
        <w:rPr>
          <w:b w:val="0"/>
          <w:color w:val="auto"/>
          <w:sz w:val="22"/>
          <w:szCs w:val="22"/>
          <w:lang w:val="en-IE"/>
        </w:rPr>
        <w:t xml:space="preserve"> </w:t>
      </w:r>
      <w:r w:rsidRPr="0092269E">
        <w:rPr>
          <w:b w:val="0"/>
          <w:color w:val="auto"/>
          <w:sz w:val="22"/>
          <w:szCs w:val="22"/>
          <w:lang w:val="en-IE"/>
        </w:rPr>
        <w:t>and wastewater make this service one of the most energy intens</w:t>
      </w:r>
      <w:r>
        <w:rPr>
          <w:b w:val="0"/>
          <w:color w:val="auto"/>
          <w:sz w:val="22"/>
          <w:szCs w:val="22"/>
          <w:lang w:val="en-IE"/>
        </w:rPr>
        <w:t xml:space="preserve">ive in the public sector. </w:t>
      </w:r>
      <w:r w:rsidR="00F601A0">
        <w:rPr>
          <w:b w:val="0"/>
          <w:color w:val="auto"/>
          <w:sz w:val="22"/>
          <w:szCs w:val="22"/>
          <w:lang w:val="en-IE"/>
        </w:rPr>
        <w:t xml:space="preserve">A full audit of IFI facilities will seek to </w:t>
      </w:r>
      <w:r w:rsidR="00B65095">
        <w:rPr>
          <w:b w:val="0"/>
          <w:color w:val="auto"/>
          <w:sz w:val="22"/>
          <w:szCs w:val="22"/>
          <w:lang w:val="en-IE"/>
        </w:rPr>
        <w:t xml:space="preserve">further </w:t>
      </w:r>
      <w:r w:rsidR="00F601A0">
        <w:rPr>
          <w:b w:val="0"/>
          <w:color w:val="auto"/>
          <w:sz w:val="22"/>
          <w:szCs w:val="22"/>
          <w:lang w:val="en-IE"/>
        </w:rPr>
        <w:t xml:space="preserve">map current </w:t>
      </w:r>
      <w:r w:rsidR="00B65095">
        <w:rPr>
          <w:b w:val="0"/>
          <w:color w:val="auto"/>
          <w:sz w:val="22"/>
          <w:szCs w:val="22"/>
          <w:lang w:val="en-IE"/>
        </w:rPr>
        <w:t xml:space="preserve">water / waste energy and practices </w:t>
      </w:r>
      <w:r w:rsidR="00F601A0">
        <w:rPr>
          <w:b w:val="0"/>
          <w:color w:val="auto"/>
          <w:sz w:val="22"/>
          <w:szCs w:val="22"/>
          <w:lang w:val="en-IE"/>
        </w:rPr>
        <w:t xml:space="preserve">and </w:t>
      </w:r>
      <w:r w:rsidR="00B65095">
        <w:rPr>
          <w:b w:val="0"/>
          <w:color w:val="auto"/>
          <w:sz w:val="22"/>
          <w:szCs w:val="22"/>
          <w:lang w:val="en-IE"/>
        </w:rPr>
        <w:t xml:space="preserve">develop and </w:t>
      </w:r>
      <w:r w:rsidR="00F601A0">
        <w:rPr>
          <w:b w:val="0"/>
          <w:color w:val="auto"/>
          <w:sz w:val="22"/>
          <w:szCs w:val="22"/>
          <w:lang w:val="en-IE"/>
        </w:rPr>
        <w:t xml:space="preserve">apply a range of improvement measures in </w:t>
      </w:r>
      <w:r w:rsidR="00B65095">
        <w:rPr>
          <w:b w:val="0"/>
          <w:color w:val="auto"/>
          <w:sz w:val="22"/>
          <w:szCs w:val="22"/>
          <w:lang w:val="en-IE"/>
        </w:rPr>
        <w:t>conjunction with the EMS team</w:t>
      </w:r>
      <w:r w:rsidR="00F601A0">
        <w:rPr>
          <w:b w:val="0"/>
          <w:color w:val="auto"/>
          <w:sz w:val="22"/>
          <w:szCs w:val="22"/>
          <w:lang w:val="en-IE"/>
        </w:rPr>
        <w:t xml:space="preserve"> to reduce IFI’s environmental footprint.</w:t>
      </w:r>
    </w:p>
    <w:p w14:paraId="5D7AAD31" w14:textId="77777777" w:rsidR="009B2EFD" w:rsidRDefault="009B2EFD" w:rsidP="00D51F9D">
      <w:pPr>
        <w:pStyle w:val="DeeStyle1"/>
        <w:rPr>
          <w:b w:val="0"/>
          <w:color w:val="auto"/>
          <w:sz w:val="22"/>
          <w:szCs w:val="22"/>
          <w:lang w:val="en-IE"/>
        </w:rPr>
      </w:pPr>
    </w:p>
    <w:p w14:paraId="5D7AAD32" w14:textId="77777777" w:rsidR="009B2EFD" w:rsidRDefault="009B2EFD" w:rsidP="00D51F9D">
      <w:pPr>
        <w:pStyle w:val="DeeStyle1"/>
        <w:rPr>
          <w:b w:val="0"/>
          <w:color w:val="auto"/>
          <w:sz w:val="22"/>
          <w:szCs w:val="22"/>
          <w:lang w:val="en-IE"/>
        </w:rPr>
      </w:pPr>
    </w:p>
    <w:p w14:paraId="5D7AAD33" w14:textId="77777777" w:rsidR="009B2EFD" w:rsidRDefault="009B2EFD" w:rsidP="00D51F9D">
      <w:pPr>
        <w:pStyle w:val="DeeStyle1"/>
        <w:rPr>
          <w:b w:val="0"/>
          <w:color w:val="auto"/>
          <w:sz w:val="22"/>
          <w:szCs w:val="22"/>
          <w:lang w:val="en-IE"/>
        </w:rPr>
      </w:pPr>
    </w:p>
    <w:p w14:paraId="5D7AAD34" w14:textId="77777777" w:rsidR="009B2EFD" w:rsidRDefault="009B2EFD" w:rsidP="00D51F9D">
      <w:pPr>
        <w:pStyle w:val="DeeStyle1"/>
        <w:rPr>
          <w:b w:val="0"/>
          <w:color w:val="auto"/>
          <w:sz w:val="22"/>
          <w:szCs w:val="22"/>
          <w:lang w:val="en-IE"/>
        </w:rPr>
      </w:pPr>
    </w:p>
    <w:p w14:paraId="5D7AAD35" w14:textId="77777777" w:rsidR="009B2EFD" w:rsidRDefault="009B2EFD" w:rsidP="00D51F9D">
      <w:pPr>
        <w:pStyle w:val="DeeStyle1"/>
        <w:rPr>
          <w:b w:val="0"/>
          <w:color w:val="auto"/>
          <w:sz w:val="22"/>
          <w:szCs w:val="22"/>
          <w:lang w:val="en-IE"/>
        </w:rPr>
      </w:pPr>
    </w:p>
    <w:p w14:paraId="5D7AAD36" w14:textId="77777777" w:rsidR="009B2EFD" w:rsidRDefault="009B2EFD" w:rsidP="00D51F9D">
      <w:pPr>
        <w:pStyle w:val="DeeStyle1"/>
        <w:rPr>
          <w:b w:val="0"/>
          <w:color w:val="auto"/>
          <w:sz w:val="22"/>
          <w:szCs w:val="22"/>
          <w:lang w:val="en-IE"/>
        </w:rPr>
      </w:pPr>
    </w:p>
    <w:p w14:paraId="5D7AAD37" w14:textId="77777777" w:rsidR="009B2EFD" w:rsidRDefault="009B2EFD" w:rsidP="00D51F9D">
      <w:pPr>
        <w:pStyle w:val="DeeStyle1"/>
        <w:rPr>
          <w:b w:val="0"/>
          <w:color w:val="auto"/>
          <w:sz w:val="22"/>
          <w:szCs w:val="22"/>
          <w:lang w:val="en-IE"/>
        </w:rPr>
      </w:pPr>
    </w:p>
    <w:p w14:paraId="5D7AAD38" w14:textId="77777777" w:rsidR="009B2EFD" w:rsidRDefault="009B2EFD" w:rsidP="00D51F9D">
      <w:pPr>
        <w:pStyle w:val="DeeStyle1"/>
        <w:rPr>
          <w:b w:val="0"/>
          <w:color w:val="auto"/>
          <w:sz w:val="22"/>
          <w:szCs w:val="22"/>
          <w:lang w:val="en-IE"/>
        </w:rPr>
      </w:pPr>
    </w:p>
    <w:p w14:paraId="5D7AAD39" w14:textId="77777777" w:rsidR="009B2EFD" w:rsidRDefault="009B2EFD" w:rsidP="00D51F9D">
      <w:pPr>
        <w:pStyle w:val="DeeStyle1"/>
        <w:rPr>
          <w:b w:val="0"/>
          <w:color w:val="auto"/>
          <w:sz w:val="22"/>
          <w:szCs w:val="22"/>
          <w:lang w:val="en-IE"/>
        </w:rPr>
      </w:pPr>
    </w:p>
    <w:p w14:paraId="5D7AAD3A" w14:textId="77777777" w:rsidR="009B2EFD" w:rsidRDefault="009B2EFD" w:rsidP="00D51F9D">
      <w:pPr>
        <w:pStyle w:val="DeeStyle1"/>
        <w:rPr>
          <w:b w:val="0"/>
          <w:color w:val="auto"/>
          <w:sz w:val="22"/>
          <w:szCs w:val="22"/>
          <w:lang w:val="en-IE"/>
        </w:rPr>
      </w:pPr>
    </w:p>
    <w:p w14:paraId="5D7AAD3B" w14:textId="77777777" w:rsidR="009B2EFD" w:rsidRDefault="009B2EFD" w:rsidP="00D51F9D">
      <w:pPr>
        <w:pStyle w:val="DeeStyle1"/>
        <w:rPr>
          <w:b w:val="0"/>
          <w:color w:val="auto"/>
          <w:sz w:val="22"/>
          <w:szCs w:val="22"/>
          <w:lang w:val="en-IE"/>
        </w:rPr>
      </w:pPr>
    </w:p>
    <w:p w14:paraId="5D7AAD3C" w14:textId="77777777" w:rsidR="009B2EFD" w:rsidRDefault="009B2EFD" w:rsidP="00D51F9D">
      <w:pPr>
        <w:pStyle w:val="DeeStyle1"/>
        <w:rPr>
          <w:b w:val="0"/>
          <w:color w:val="auto"/>
          <w:sz w:val="22"/>
          <w:szCs w:val="22"/>
          <w:lang w:val="en-IE"/>
        </w:rPr>
      </w:pPr>
    </w:p>
    <w:p w14:paraId="5D7AAD3D" w14:textId="77777777" w:rsidR="009B2EFD" w:rsidRPr="004E07A2" w:rsidRDefault="009B2EFD" w:rsidP="00D51F9D">
      <w:pPr>
        <w:pStyle w:val="DeeStyle1"/>
        <w:rPr>
          <w:b w:val="0"/>
          <w:color w:val="auto"/>
          <w:sz w:val="22"/>
          <w:szCs w:val="22"/>
          <w:lang w:val="en-IE"/>
        </w:rPr>
      </w:pPr>
    </w:p>
    <w:p w14:paraId="5D7AAD3E" w14:textId="77777777" w:rsidR="00720080" w:rsidRPr="004E07A2" w:rsidRDefault="00720080" w:rsidP="00720080">
      <w:pPr>
        <w:rPr>
          <w:rFonts w:asciiTheme="minorHAnsi" w:hAnsiTheme="minorHAnsi"/>
          <w:b/>
          <w:color w:val="17365D"/>
          <w:sz w:val="22"/>
          <w:szCs w:val="22"/>
          <w:lang w:val="en-IE"/>
        </w:rPr>
      </w:pPr>
      <w:r w:rsidRPr="004E07A2">
        <w:rPr>
          <w:rFonts w:asciiTheme="minorHAnsi" w:hAnsiTheme="minorHAnsi"/>
          <w:b/>
          <w:color w:val="17365D"/>
          <w:sz w:val="22"/>
          <w:szCs w:val="22"/>
          <w:lang w:val="en-IE"/>
        </w:rPr>
        <w:lastRenderedPageBreak/>
        <w:t xml:space="preserve">IFI </w:t>
      </w:r>
      <w:r w:rsidR="00BC6784" w:rsidRPr="004E07A2">
        <w:rPr>
          <w:rFonts w:asciiTheme="minorHAnsi" w:hAnsiTheme="minorHAnsi"/>
          <w:b/>
          <w:color w:val="17365D"/>
          <w:sz w:val="22"/>
          <w:szCs w:val="22"/>
          <w:lang w:val="en-IE"/>
        </w:rPr>
        <w:t>E</w:t>
      </w:r>
      <w:r w:rsidR="003973B1" w:rsidRPr="004E07A2">
        <w:rPr>
          <w:rFonts w:asciiTheme="minorHAnsi" w:hAnsiTheme="minorHAnsi"/>
          <w:b/>
          <w:color w:val="17365D"/>
          <w:sz w:val="22"/>
          <w:szCs w:val="22"/>
          <w:lang w:val="en-IE"/>
        </w:rPr>
        <w:t xml:space="preserve">NVIRONMENTAL </w:t>
      </w:r>
      <w:r w:rsidR="00BC6784" w:rsidRPr="004E07A2">
        <w:rPr>
          <w:rFonts w:asciiTheme="minorHAnsi" w:hAnsiTheme="minorHAnsi"/>
          <w:b/>
          <w:color w:val="17365D"/>
          <w:sz w:val="22"/>
          <w:szCs w:val="22"/>
          <w:lang w:val="en-IE"/>
        </w:rPr>
        <w:t>M</w:t>
      </w:r>
      <w:r w:rsidR="003973B1" w:rsidRPr="004E07A2">
        <w:rPr>
          <w:rFonts w:asciiTheme="minorHAnsi" w:hAnsiTheme="minorHAnsi"/>
          <w:b/>
          <w:color w:val="17365D"/>
          <w:sz w:val="22"/>
          <w:szCs w:val="22"/>
          <w:lang w:val="en-IE"/>
        </w:rPr>
        <w:t xml:space="preserve">ANAGEMENT </w:t>
      </w:r>
      <w:r w:rsidR="00BC6784" w:rsidRPr="004E07A2">
        <w:rPr>
          <w:rFonts w:asciiTheme="minorHAnsi" w:hAnsiTheme="minorHAnsi"/>
          <w:b/>
          <w:color w:val="17365D"/>
          <w:sz w:val="22"/>
          <w:szCs w:val="22"/>
          <w:lang w:val="en-IE"/>
        </w:rPr>
        <w:t>S</w:t>
      </w:r>
      <w:r w:rsidR="003973B1" w:rsidRPr="004E07A2">
        <w:rPr>
          <w:rFonts w:asciiTheme="minorHAnsi" w:hAnsiTheme="minorHAnsi"/>
          <w:b/>
          <w:color w:val="17365D"/>
          <w:sz w:val="22"/>
          <w:szCs w:val="22"/>
          <w:lang w:val="en-IE"/>
        </w:rPr>
        <w:t>YSTEMS</w:t>
      </w:r>
      <w:r w:rsidR="00254B9D" w:rsidRPr="004E07A2">
        <w:rPr>
          <w:rFonts w:asciiTheme="minorHAnsi" w:hAnsiTheme="minorHAnsi"/>
          <w:b/>
          <w:color w:val="17365D"/>
          <w:sz w:val="22"/>
          <w:szCs w:val="22"/>
          <w:lang w:val="en-IE"/>
        </w:rPr>
        <w:t xml:space="preserve"> &amp; P</w:t>
      </w:r>
      <w:r w:rsidR="00505659" w:rsidRPr="004E07A2">
        <w:rPr>
          <w:rFonts w:asciiTheme="minorHAnsi" w:hAnsiTheme="minorHAnsi"/>
          <w:b/>
          <w:color w:val="17365D"/>
          <w:sz w:val="22"/>
          <w:szCs w:val="22"/>
          <w:lang w:val="en-IE"/>
        </w:rPr>
        <w:t>ROGRAMME</w:t>
      </w:r>
      <w:r w:rsidRPr="004E07A2">
        <w:rPr>
          <w:rFonts w:asciiTheme="minorHAnsi" w:hAnsiTheme="minorHAnsi"/>
          <w:b/>
          <w:color w:val="17365D"/>
          <w:sz w:val="22"/>
          <w:szCs w:val="22"/>
          <w:lang w:val="en-IE"/>
        </w:rPr>
        <w:t xml:space="preserve"> – </w:t>
      </w:r>
      <w:r w:rsidR="008A3906">
        <w:rPr>
          <w:rFonts w:asciiTheme="minorHAnsi" w:hAnsiTheme="minorHAnsi"/>
          <w:b/>
          <w:color w:val="17365D"/>
          <w:sz w:val="22"/>
          <w:szCs w:val="22"/>
          <w:lang w:val="en-IE"/>
        </w:rPr>
        <w:t>NOW and NEXT STEPS</w:t>
      </w:r>
    </w:p>
    <w:p w14:paraId="5D7AAD3F" w14:textId="77777777" w:rsidR="00720080" w:rsidRPr="004E07A2" w:rsidRDefault="00720080" w:rsidP="00720080">
      <w:pPr>
        <w:rPr>
          <w:rFonts w:asciiTheme="minorHAnsi" w:hAnsiTheme="minorHAnsi"/>
          <w:b/>
          <w:color w:val="17365D"/>
          <w:szCs w:val="20"/>
          <w:lang w:val="en-IE"/>
        </w:rPr>
      </w:pPr>
    </w:p>
    <w:tbl>
      <w:tblPr>
        <w:tblStyle w:val="LightShading-Accent1"/>
        <w:tblW w:w="9972" w:type="dxa"/>
        <w:tblInd w:w="-792" w:type="dxa"/>
        <w:tblLayout w:type="fixed"/>
        <w:tblLook w:val="04A0" w:firstRow="1" w:lastRow="0" w:firstColumn="1" w:lastColumn="0" w:noHBand="0" w:noVBand="1"/>
      </w:tblPr>
      <w:tblGrid>
        <w:gridCol w:w="1042"/>
        <w:gridCol w:w="4253"/>
        <w:gridCol w:w="4677"/>
      </w:tblGrid>
      <w:tr w:rsidR="00F05A4B" w:rsidRPr="004E07A2" w14:paraId="5D7AAD43" w14:textId="77777777" w:rsidTr="00F05A4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042" w:type="dxa"/>
            <w:noWrap/>
            <w:hideMark/>
          </w:tcPr>
          <w:p w14:paraId="5D7AAD40" w14:textId="77777777" w:rsidR="00F05A4B" w:rsidRPr="004E07A2" w:rsidRDefault="00F05A4B" w:rsidP="0030558E">
            <w:pPr>
              <w:rPr>
                <w:rFonts w:asciiTheme="minorHAnsi" w:hAnsiTheme="minorHAnsi"/>
                <w:b w:val="0"/>
                <w:color w:val="17365D"/>
                <w:szCs w:val="20"/>
                <w:lang w:val="en-IE"/>
              </w:rPr>
            </w:pPr>
          </w:p>
        </w:tc>
        <w:tc>
          <w:tcPr>
            <w:tcW w:w="4253" w:type="dxa"/>
            <w:noWrap/>
            <w:hideMark/>
          </w:tcPr>
          <w:p w14:paraId="5D7AAD41" w14:textId="77777777" w:rsidR="00F05A4B" w:rsidRPr="004E07A2" w:rsidRDefault="00F05A4B" w:rsidP="0030558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szCs w:val="20"/>
                <w:lang w:val="en-IE"/>
              </w:rPr>
            </w:pPr>
            <w:r w:rsidRPr="004E07A2">
              <w:rPr>
                <w:rFonts w:asciiTheme="minorHAnsi" w:hAnsiTheme="minorHAnsi"/>
                <w:color w:val="17365D"/>
                <w:szCs w:val="20"/>
                <w:lang w:val="en-IE"/>
              </w:rPr>
              <w:t>Current Situation</w:t>
            </w:r>
          </w:p>
        </w:tc>
        <w:tc>
          <w:tcPr>
            <w:tcW w:w="4677" w:type="dxa"/>
            <w:noWrap/>
            <w:hideMark/>
          </w:tcPr>
          <w:p w14:paraId="5D7AAD42" w14:textId="77777777" w:rsidR="00F05A4B" w:rsidRPr="004E07A2" w:rsidRDefault="00F05A4B" w:rsidP="0030558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szCs w:val="20"/>
                <w:lang w:val="en-IE"/>
              </w:rPr>
            </w:pPr>
            <w:r w:rsidRPr="004E07A2">
              <w:rPr>
                <w:rFonts w:asciiTheme="minorHAnsi" w:hAnsiTheme="minorHAnsi"/>
                <w:color w:val="17365D"/>
                <w:szCs w:val="20"/>
                <w:lang w:val="en-IE"/>
              </w:rPr>
              <w:t>Next steps</w:t>
            </w:r>
          </w:p>
        </w:tc>
      </w:tr>
      <w:tr w:rsidR="00F05A4B" w:rsidRPr="004E07A2" w14:paraId="5D7AAD4C" w14:textId="77777777" w:rsidTr="00F05A4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2" w:type="dxa"/>
            <w:noWrap/>
            <w:hideMark/>
          </w:tcPr>
          <w:p w14:paraId="5D7AAD44" w14:textId="77777777" w:rsidR="00F05A4B" w:rsidRPr="004E07A2" w:rsidRDefault="00F05A4B" w:rsidP="00720080">
            <w:pPr>
              <w:rPr>
                <w:rFonts w:asciiTheme="minorHAnsi" w:hAnsiTheme="minorHAnsi"/>
                <w:color w:val="17365D"/>
                <w:szCs w:val="20"/>
                <w:lang w:val="en-IE"/>
              </w:rPr>
            </w:pPr>
            <w:r w:rsidRPr="004E07A2">
              <w:rPr>
                <w:rFonts w:asciiTheme="minorHAnsi" w:hAnsiTheme="minorHAnsi"/>
                <w:color w:val="17365D"/>
                <w:szCs w:val="20"/>
                <w:lang w:val="en-IE"/>
              </w:rPr>
              <w:t>ENERGY / Buildings</w:t>
            </w:r>
          </w:p>
        </w:tc>
        <w:tc>
          <w:tcPr>
            <w:tcW w:w="4253" w:type="dxa"/>
            <w:noWrap/>
            <w:hideMark/>
          </w:tcPr>
          <w:p w14:paraId="0E8FF6CD" w14:textId="77777777" w:rsidR="00F05A4B" w:rsidRDefault="00F05A4B" w:rsidP="00F05A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Cs w:val="20"/>
                <w:lang w:val="en-IE"/>
              </w:rPr>
            </w:pPr>
            <w:r w:rsidRPr="004E07A2">
              <w:rPr>
                <w:rFonts w:asciiTheme="minorHAnsi" w:hAnsiTheme="minorHAnsi"/>
                <w:color w:val="17365D"/>
                <w:szCs w:val="20"/>
                <w:lang w:val="en-IE"/>
              </w:rPr>
              <w:t xml:space="preserve">Primary energy sources throughout IFI are ELECTRICITY and NATURAL GAS. Electricity is used for lighting, </w:t>
            </w:r>
            <w:proofErr w:type="gramStart"/>
            <w:r w:rsidRPr="004E07A2">
              <w:rPr>
                <w:rFonts w:asciiTheme="minorHAnsi" w:hAnsiTheme="minorHAnsi"/>
                <w:color w:val="17365D"/>
                <w:szCs w:val="20"/>
                <w:lang w:val="en-IE"/>
              </w:rPr>
              <w:t>power</w:t>
            </w:r>
            <w:proofErr w:type="gramEnd"/>
            <w:r w:rsidRPr="004E07A2">
              <w:rPr>
                <w:rFonts w:asciiTheme="minorHAnsi" w:hAnsiTheme="minorHAnsi"/>
                <w:color w:val="17365D"/>
                <w:szCs w:val="20"/>
                <w:lang w:val="en-IE"/>
              </w:rPr>
              <w:t xml:space="preserve"> and air conditioning. Natural gas, LPG, and kerosene are used </w:t>
            </w:r>
            <w:r w:rsidR="0092269E">
              <w:rPr>
                <w:rFonts w:asciiTheme="minorHAnsi" w:hAnsiTheme="minorHAnsi"/>
                <w:color w:val="17365D"/>
                <w:szCs w:val="20"/>
                <w:lang w:val="en-IE"/>
              </w:rPr>
              <w:t xml:space="preserve">primarily </w:t>
            </w:r>
            <w:r w:rsidRPr="004E07A2">
              <w:rPr>
                <w:rFonts w:asciiTheme="minorHAnsi" w:hAnsiTheme="minorHAnsi"/>
                <w:color w:val="17365D"/>
                <w:szCs w:val="20"/>
                <w:lang w:val="en-IE"/>
              </w:rPr>
              <w:t>for space heating. Monitoring and reporting of energy consumption takes place across IFI sites. Occupancy sensors and intelligent lighting systems have been introduced to reduce consumption in some locations.</w:t>
            </w:r>
          </w:p>
          <w:p w14:paraId="5D7AAD45" w14:textId="77777777" w:rsidR="00324D45" w:rsidRPr="004E07A2" w:rsidRDefault="00324D45" w:rsidP="00F05A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Cs w:val="20"/>
                <w:lang w:val="en-IE"/>
              </w:rPr>
            </w:pPr>
          </w:p>
        </w:tc>
        <w:tc>
          <w:tcPr>
            <w:tcW w:w="4677" w:type="dxa"/>
            <w:noWrap/>
            <w:hideMark/>
          </w:tcPr>
          <w:p w14:paraId="5D7AAD46" w14:textId="77777777" w:rsidR="00F05A4B" w:rsidRPr="004E07A2" w:rsidRDefault="00F05A4B" w:rsidP="00F05A4B">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4E07A2">
              <w:rPr>
                <w:rFonts w:asciiTheme="minorHAnsi" w:hAnsiTheme="minorHAnsi"/>
                <w:color w:val="17365D"/>
                <w:sz w:val="20"/>
                <w:szCs w:val="20"/>
              </w:rPr>
              <w:t xml:space="preserve">Enhanced coordination through </w:t>
            </w:r>
            <w:r w:rsidR="00F601A0">
              <w:rPr>
                <w:rFonts w:asciiTheme="minorHAnsi" w:hAnsiTheme="minorHAnsi"/>
                <w:color w:val="17365D"/>
                <w:sz w:val="20"/>
                <w:szCs w:val="20"/>
              </w:rPr>
              <w:t>formation of national EMS team, designate EPO.</w:t>
            </w:r>
          </w:p>
          <w:p w14:paraId="5D7AAD47" w14:textId="77777777" w:rsidR="00F05A4B" w:rsidRPr="004E07A2" w:rsidRDefault="00F05A4B" w:rsidP="00F05A4B">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4E07A2">
              <w:rPr>
                <w:rFonts w:asciiTheme="minorHAnsi" w:hAnsiTheme="minorHAnsi"/>
                <w:color w:val="17365D"/>
                <w:sz w:val="20"/>
                <w:szCs w:val="20"/>
              </w:rPr>
              <w:t>Appoint Energy Performance Officer in line with Public Sector Energy Strategy.</w:t>
            </w:r>
          </w:p>
          <w:p w14:paraId="5D7AAD48" w14:textId="1243641D" w:rsidR="00F05A4B" w:rsidRDefault="00F05A4B" w:rsidP="00324D45">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4E07A2">
              <w:rPr>
                <w:rFonts w:asciiTheme="minorHAnsi" w:hAnsiTheme="minorHAnsi"/>
                <w:color w:val="17365D"/>
                <w:sz w:val="20"/>
                <w:szCs w:val="20"/>
              </w:rPr>
              <w:t>Identify projects &amp; actions based on energy monitoring data across all locations</w:t>
            </w:r>
            <w:r w:rsidR="0092269E">
              <w:rPr>
                <w:rFonts w:asciiTheme="minorHAnsi" w:hAnsiTheme="minorHAnsi"/>
                <w:color w:val="17365D"/>
                <w:sz w:val="20"/>
                <w:szCs w:val="20"/>
              </w:rPr>
              <w:t xml:space="preserve"> (shallow and then deep measures)</w:t>
            </w:r>
            <w:r w:rsidR="00324D45">
              <w:rPr>
                <w:rFonts w:asciiTheme="minorHAnsi" w:hAnsiTheme="minorHAnsi"/>
                <w:color w:val="17365D"/>
                <w:sz w:val="20"/>
                <w:szCs w:val="20"/>
              </w:rPr>
              <w:t xml:space="preserve"> including solar thermal and PV, </w:t>
            </w:r>
            <w:r w:rsidR="00324D45" w:rsidRPr="00324D45">
              <w:rPr>
                <w:rFonts w:asciiTheme="minorHAnsi" w:hAnsiTheme="minorHAnsi"/>
                <w:color w:val="17365D"/>
                <w:sz w:val="20"/>
                <w:szCs w:val="20"/>
              </w:rPr>
              <w:t xml:space="preserve">energy efficient windows, doors, cavity wall insulation, roof insulation, energy efficient </w:t>
            </w:r>
            <w:r w:rsidR="00324D45">
              <w:rPr>
                <w:rFonts w:asciiTheme="minorHAnsi" w:hAnsiTheme="minorHAnsi"/>
                <w:color w:val="17365D"/>
                <w:sz w:val="20"/>
                <w:szCs w:val="20"/>
              </w:rPr>
              <w:t>heating systems</w:t>
            </w:r>
            <w:r w:rsidR="00324D45" w:rsidRPr="00324D45">
              <w:rPr>
                <w:rFonts w:asciiTheme="minorHAnsi" w:hAnsiTheme="minorHAnsi"/>
                <w:color w:val="17365D"/>
                <w:sz w:val="20"/>
                <w:szCs w:val="20"/>
              </w:rPr>
              <w:t>.</w:t>
            </w:r>
          </w:p>
          <w:p w14:paraId="18E75053" w14:textId="2CC2AE4A" w:rsidR="00324D45" w:rsidRPr="00324D45" w:rsidRDefault="00324D45" w:rsidP="00324D45">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324D45">
              <w:rPr>
                <w:rFonts w:asciiTheme="minorHAnsi" w:hAnsiTheme="minorHAnsi"/>
                <w:color w:val="17365D"/>
                <w:sz w:val="20"/>
                <w:szCs w:val="20"/>
              </w:rPr>
              <w:t>Install intelligent lighting systems in all IFI public buildings</w:t>
            </w:r>
            <w:r>
              <w:rPr>
                <w:rFonts w:asciiTheme="minorHAnsi" w:hAnsiTheme="minorHAnsi"/>
                <w:color w:val="17365D"/>
                <w:sz w:val="20"/>
                <w:szCs w:val="20"/>
              </w:rPr>
              <w:t xml:space="preserve"> / convert</w:t>
            </w:r>
            <w:r w:rsidRPr="00324D45">
              <w:rPr>
                <w:rFonts w:asciiTheme="minorHAnsi" w:hAnsiTheme="minorHAnsi"/>
                <w:color w:val="17365D"/>
                <w:sz w:val="20"/>
                <w:szCs w:val="20"/>
              </w:rPr>
              <w:t xml:space="preserve"> light fittings </w:t>
            </w:r>
            <w:r>
              <w:rPr>
                <w:rFonts w:asciiTheme="minorHAnsi" w:hAnsiTheme="minorHAnsi"/>
                <w:color w:val="17365D"/>
                <w:sz w:val="20"/>
                <w:szCs w:val="20"/>
              </w:rPr>
              <w:t>to</w:t>
            </w:r>
            <w:r w:rsidRPr="00324D45">
              <w:rPr>
                <w:rFonts w:asciiTheme="minorHAnsi" w:hAnsiTheme="minorHAnsi"/>
                <w:color w:val="17365D"/>
                <w:sz w:val="20"/>
                <w:szCs w:val="20"/>
              </w:rPr>
              <w:t xml:space="preserve"> LED</w:t>
            </w:r>
            <w:r>
              <w:rPr>
                <w:rFonts w:asciiTheme="minorHAnsi" w:hAnsiTheme="minorHAnsi"/>
                <w:color w:val="17365D"/>
                <w:sz w:val="20"/>
                <w:szCs w:val="20"/>
              </w:rPr>
              <w:t xml:space="preserve"> where possible.</w:t>
            </w:r>
          </w:p>
          <w:p w14:paraId="5D7AAD49" w14:textId="77777777" w:rsidR="00F05A4B" w:rsidRPr="004E07A2" w:rsidRDefault="00F05A4B" w:rsidP="00F05A4B">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4E07A2">
              <w:rPr>
                <w:rFonts w:asciiTheme="minorHAnsi" w:hAnsiTheme="minorHAnsi"/>
                <w:color w:val="17365D"/>
                <w:sz w:val="20"/>
                <w:szCs w:val="20"/>
              </w:rPr>
              <w:t>Set Energy reduction targets across all locations.</w:t>
            </w:r>
          </w:p>
          <w:p w14:paraId="5D7AAD4A" w14:textId="77777777" w:rsidR="0092269E" w:rsidRDefault="00F05A4B" w:rsidP="00F05A4B">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4E07A2">
              <w:rPr>
                <w:rFonts w:asciiTheme="minorHAnsi" w:hAnsiTheme="minorHAnsi"/>
                <w:color w:val="17365D"/>
                <w:sz w:val="20"/>
                <w:szCs w:val="20"/>
              </w:rPr>
              <w:t>Monitor &amp; report on energy performance - all locations.</w:t>
            </w:r>
          </w:p>
          <w:p w14:paraId="5D7AAD4B" w14:textId="77777777" w:rsidR="00F05A4B" w:rsidRPr="004E07A2" w:rsidRDefault="0092269E" w:rsidP="0092269E">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Pr>
                <w:rFonts w:asciiTheme="minorHAnsi" w:hAnsiTheme="minorHAnsi"/>
                <w:color w:val="17365D"/>
                <w:sz w:val="20"/>
                <w:szCs w:val="20"/>
              </w:rPr>
              <w:t xml:space="preserve">Explore IS399 &amp; </w:t>
            </w:r>
            <w:proofErr w:type="spellStart"/>
            <w:r w:rsidRPr="0092269E">
              <w:rPr>
                <w:rFonts w:asciiTheme="minorHAnsi" w:hAnsiTheme="minorHAnsi"/>
                <w:color w:val="17365D"/>
                <w:sz w:val="20"/>
                <w:szCs w:val="20"/>
              </w:rPr>
              <w:t>ExEED</w:t>
            </w:r>
            <w:proofErr w:type="spellEnd"/>
            <w:r>
              <w:rPr>
                <w:rFonts w:asciiTheme="minorHAnsi" w:hAnsiTheme="minorHAnsi"/>
                <w:color w:val="17365D"/>
                <w:sz w:val="20"/>
                <w:szCs w:val="20"/>
              </w:rPr>
              <w:t xml:space="preserve"> initiatives</w:t>
            </w:r>
          </w:p>
        </w:tc>
      </w:tr>
      <w:tr w:rsidR="00F05A4B" w:rsidRPr="004E07A2" w14:paraId="5D7AAD59" w14:textId="77777777" w:rsidTr="00F05A4B">
        <w:trPr>
          <w:trHeight w:val="20"/>
        </w:trPr>
        <w:tc>
          <w:tcPr>
            <w:cnfStyle w:val="001000000000" w:firstRow="0" w:lastRow="0" w:firstColumn="1" w:lastColumn="0" w:oddVBand="0" w:evenVBand="0" w:oddHBand="0" w:evenHBand="0" w:firstRowFirstColumn="0" w:firstRowLastColumn="0" w:lastRowFirstColumn="0" w:lastRowLastColumn="0"/>
            <w:tcW w:w="1042" w:type="dxa"/>
            <w:noWrap/>
            <w:hideMark/>
          </w:tcPr>
          <w:p w14:paraId="5D7AAD4D" w14:textId="77777777" w:rsidR="00F05A4B" w:rsidRPr="004E07A2" w:rsidRDefault="00F05A4B" w:rsidP="008A5310">
            <w:pPr>
              <w:rPr>
                <w:rFonts w:asciiTheme="minorHAnsi" w:hAnsiTheme="minorHAnsi"/>
                <w:color w:val="17365D"/>
                <w:szCs w:val="20"/>
                <w:lang w:val="en-IE"/>
              </w:rPr>
            </w:pPr>
            <w:r w:rsidRPr="004E07A2">
              <w:rPr>
                <w:rFonts w:asciiTheme="minorHAnsi" w:hAnsiTheme="minorHAnsi"/>
                <w:color w:val="17365D"/>
                <w:szCs w:val="20"/>
                <w:lang w:val="en-IE"/>
              </w:rPr>
              <w:t>ENERGY / Transport</w:t>
            </w:r>
          </w:p>
        </w:tc>
        <w:tc>
          <w:tcPr>
            <w:tcW w:w="4253" w:type="dxa"/>
            <w:noWrap/>
            <w:hideMark/>
          </w:tcPr>
          <w:p w14:paraId="5D7AAD4E" w14:textId="77777777" w:rsidR="00F05A4B" w:rsidRPr="004E07A2" w:rsidRDefault="006453DB" w:rsidP="006453D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Cs w:val="20"/>
                <w:lang w:val="en-IE"/>
              </w:rPr>
            </w:pPr>
            <w:r w:rsidRPr="004E07A2">
              <w:rPr>
                <w:rFonts w:asciiTheme="minorHAnsi" w:hAnsiTheme="minorHAnsi"/>
                <w:b/>
                <w:color w:val="17365D"/>
                <w:szCs w:val="20"/>
                <w:lang w:val="en-IE"/>
              </w:rPr>
              <w:t xml:space="preserve">The majority of IFI staff comprise IFI’s ‘mobile workforce’ travelling on a daily basis to deliver IFI’s functions, </w:t>
            </w:r>
            <w:proofErr w:type="gramStart"/>
            <w:r w:rsidRPr="004E07A2">
              <w:rPr>
                <w:rFonts w:asciiTheme="minorHAnsi" w:hAnsiTheme="minorHAnsi"/>
                <w:b/>
                <w:color w:val="17365D"/>
                <w:szCs w:val="20"/>
                <w:lang w:val="en-IE"/>
              </w:rPr>
              <w:t>including:</w:t>
            </w:r>
            <w:proofErr w:type="gramEnd"/>
            <w:r w:rsidRPr="004E07A2">
              <w:rPr>
                <w:rFonts w:asciiTheme="minorHAnsi" w:hAnsiTheme="minorHAnsi"/>
                <w:b/>
                <w:color w:val="17365D"/>
                <w:szCs w:val="20"/>
                <w:lang w:val="en-IE"/>
              </w:rPr>
              <w:t xml:space="preserve"> law enforcement / protection, conservation, site visits, inspections and environmental monitoring on a nation-wide basis. Staff attend meetings both </w:t>
            </w:r>
            <w:r w:rsidR="00AA24C0" w:rsidRPr="004E07A2">
              <w:rPr>
                <w:rFonts w:asciiTheme="minorHAnsi" w:hAnsiTheme="minorHAnsi"/>
                <w:b/>
                <w:color w:val="17365D"/>
                <w:szCs w:val="20"/>
                <w:lang w:val="en-IE"/>
              </w:rPr>
              <w:t>nationally and internationally</w:t>
            </w:r>
            <w:r w:rsidRPr="004E07A2">
              <w:rPr>
                <w:rFonts w:asciiTheme="minorHAnsi" w:hAnsiTheme="minorHAnsi"/>
                <w:b/>
                <w:color w:val="17365D"/>
                <w:szCs w:val="20"/>
                <w:lang w:val="en-IE"/>
              </w:rPr>
              <w:t xml:space="preserve">. Many IFI sites are outside urban areas where public transport options are limited. </w:t>
            </w:r>
            <w:r w:rsidR="00AA24C0" w:rsidRPr="004E07A2">
              <w:rPr>
                <w:rFonts w:asciiTheme="minorHAnsi" w:hAnsiTheme="minorHAnsi"/>
                <w:b/>
                <w:color w:val="17365D"/>
                <w:szCs w:val="20"/>
                <w:lang w:val="en-IE"/>
              </w:rPr>
              <w:t>By necessity,</w:t>
            </w:r>
            <w:r w:rsidRPr="004E07A2">
              <w:rPr>
                <w:rFonts w:asciiTheme="minorHAnsi" w:hAnsiTheme="minorHAnsi"/>
                <w:b/>
                <w:color w:val="17365D"/>
                <w:szCs w:val="20"/>
                <w:lang w:val="en-IE"/>
              </w:rPr>
              <w:t xml:space="preserve"> IFI’s fleet (approximately 200 vehicles) </w:t>
            </w:r>
            <w:r w:rsidR="00AA24C0" w:rsidRPr="004E07A2">
              <w:rPr>
                <w:rFonts w:asciiTheme="minorHAnsi" w:hAnsiTheme="minorHAnsi"/>
                <w:b/>
                <w:color w:val="17365D"/>
                <w:szCs w:val="20"/>
                <w:lang w:val="en-IE"/>
              </w:rPr>
              <w:t>are</w:t>
            </w:r>
            <w:r w:rsidRPr="004E07A2">
              <w:rPr>
                <w:rFonts w:asciiTheme="minorHAnsi" w:hAnsiTheme="minorHAnsi"/>
                <w:b/>
                <w:color w:val="17365D"/>
                <w:szCs w:val="20"/>
                <w:lang w:val="en-IE"/>
              </w:rPr>
              <w:t xml:space="preserve"> working vehicle</w:t>
            </w:r>
            <w:r w:rsidR="00AA24C0" w:rsidRPr="004E07A2">
              <w:rPr>
                <w:rFonts w:asciiTheme="minorHAnsi" w:hAnsiTheme="minorHAnsi"/>
                <w:b/>
                <w:color w:val="17365D"/>
                <w:szCs w:val="20"/>
                <w:lang w:val="en-IE"/>
              </w:rPr>
              <w:t>s.</w:t>
            </w:r>
            <w:r w:rsidRPr="004E07A2">
              <w:rPr>
                <w:rFonts w:asciiTheme="minorHAnsi" w:hAnsiTheme="minorHAnsi"/>
                <w:b/>
                <w:color w:val="17365D"/>
                <w:szCs w:val="20"/>
                <w:lang w:val="en-IE"/>
              </w:rPr>
              <w:t xml:space="preserve"> </w:t>
            </w:r>
            <w:r w:rsidR="00AA24C0" w:rsidRPr="004E07A2">
              <w:rPr>
                <w:rFonts w:asciiTheme="minorHAnsi" w:hAnsiTheme="minorHAnsi"/>
                <w:b/>
                <w:color w:val="17365D"/>
                <w:szCs w:val="20"/>
                <w:lang w:val="en-IE"/>
              </w:rPr>
              <w:t>IFI</w:t>
            </w:r>
            <w:r w:rsidRPr="004E07A2">
              <w:rPr>
                <w:rFonts w:asciiTheme="minorHAnsi" w:hAnsiTheme="minorHAnsi"/>
                <w:b/>
                <w:color w:val="17365D"/>
                <w:szCs w:val="20"/>
                <w:lang w:val="en-IE"/>
              </w:rPr>
              <w:t xml:space="preserve"> has tested alternative fuels in its fleet</w:t>
            </w:r>
            <w:r w:rsidR="00AA24C0" w:rsidRPr="004E07A2">
              <w:rPr>
                <w:rFonts w:asciiTheme="minorHAnsi" w:hAnsiTheme="minorHAnsi"/>
                <w:b/>
                <w:color w:val="17365D"/>
                <w:szCs w:val="20"/>
                <w:lang w:val="en-IE"/>
              </w:rPr>
              <w:t xml:space="preserve"> h</w:t>
            </w:r>
            <w:r w:rsidRPr="004E07A2">
              <w:rPr>
                <w:rFonts w:asciiTheme="minorHAnsi" w:hAnsiTheme="minorHAnsi"/>
                <w:b/>
                <w:color w:val="17365D"/>
                <w:szCs w:val="20"/>
                <w:lang w:val="en-IE"/>
              </w:rPr>
              <w:t>owever</w:t>
            </w:r>
            <w:r w:rsidR="00AA24C0" w:rsidRPr="004E07A2">
              <w:rPr>
                <w:rFonts w:asciiTheme="minorHAnsi" w:hAnsiTheme="minorHAnsi"/>
                <w:b/>
                <w:color w:val="17365D"/>
                <w:szCs w:val="20"/>
                <w:lang w:val="en-IE"/>
              </w:rPr>
              <w:t xml:space="preserve"> early adoption and associated limited fuel options</w:t>
            </w:r>
            <w:r w:rsidRPr="004E07A2">
              <w:rPr>
                <w:rFonts w:asciiTheme="minorHAnsi" w:hAnsiTheme="minorHAnsi"/>
                <w:b/>
                <w:color w:val="17365D"/>
                <w:szCs w:val="20"/>
                <w:lang w:val="en-IE"/>
              </w:rPr>
              <w:t xml:space="preserve"> </w:t>
            </w:r>
            <w:r w:rsidR="00AA24C0" w:rsidRPr="004E07A2">
              <w:rPr>
                <w:rFonts w:asciiTheme="minorHAnsi" w:hAnsiTheme="minorHAnsi"/>
                <w:b/>
                <w:color w:val="17365D"/>
                <w:szCs w:val="20"/>
                <w:lang w:val="en-IE"/>
              </w:rPr>
              <w:t xml:space="preserve">means that IFI’s current </w:t>
            </w:r>
            <w:r w:rsidRPr="004E07A2">
              <w:rPr>
                <w:rFonts w:asciiTheme="minorHAnsi" w:hAnsiTheme="minorHAnsi"/>
                <w:b/>
                <w:color w:val="17365D"/>
                <w:szCs w:val="20"/>
                <w:lang w:val="en-IE"/>
              </w:rPr>
              <w:t>fleet is almost entirely powered by fossil fuels.</w:t>
            </w:r>
            <w:r w:rsidR="00174500" w:rsidRPr="004E07A2">
              <w:rPr>
                <w:rFonts w:asciiTheme="minorHAnsi" w:hAnsiTheme="minorHAnsi"/>
                <w:b/>
                <w:color w:val="17365D"/>
                <w:szCs w:val="20"/>
                <w:lang w:val="en-IE"/>
              </w:rPr>
              <w:t xml:space="preserve"> IFI has made significant changes </w:t>
            </w:r>
            <w:proofErr w:type="gramStart"/>
            <w:r w:rsidR="00174500" w:rsidRPr="004E07A2">
              <w:rPr>
                <w:rFonts w:asciiTheme="minorHAnsi" w:hAnsiTheme="minorHAnsi"/>
                <w:b/>
                <w:color w:val="17365D"/>
                <w:szCs w:val="20"/>
                <w:lang w:val="en-IE"/>
              </w:rPr>
              <w:t>in the area of</w:t>
            </w:r>
            <w:proofErr w:type="gramEnd"/>
            <w:r w:rsidR="00174500" w:rsidRPr="004E07A2">
              <w:rPr>
                <w:rFonts w:asciiTheme="minorHAnsi" w:hAnsiTheme="minorHAnsi"/>
                <w:b/>
                <w:color w:val="17365D"/>
                <w:szCs w:val="20"/>
                <w:lang w:val="en-IE"/>
              </w:rPr>
              <w:t xml:space="preserve"> fleet management over the recent period including:</w:t>
            </w:r>
          </w:p>
          <w:p w14:paraId="5D7AAD4F" w14:textId="77777777" w:rsidR="00174500" w:rsidRPr="004E07A2" w:rsidRDefault="00174500" w:rsidP="00174500">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sidRPr="004E07A2">
              <w:rPr>
                <w:rFonts w:asciiTheme="minorHAnsi" w:hAnsiTheme="minorHAnsi"/>
                <w:b/>
                <w:color w:val="17365D"/>
                <w:sz w:val="20"/>
                <w:szCs w:val="20"/>
              </w:rPr>
              <w:t>Procurement of national fleet servicing contract to maximise environmental benefit</w:t>
            </w:r>
          </w:p>
          <w:p w14:paraId="5D7AAD50" w14:textId="77777777" w:rsidR="00174500" w:rsidRPr="004E07A2" w:rsidRDefault="00174500" w:rsidP="00174500">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sidRPr="004E07A2">
              <w:rPr>
                <w:rFonts w:asciiTheme="minorHAnsi" w:hAnsiTheme="minorHAnsi"/>
                <w:b/>
                <w:color w:val="17365D"/>
                <w:sz w:val="20"/>
                <w:szCs w:val="20"/>
              </w:rPr>
              <w:t>Introduction of telematics system</w:t>
            </w:r>
          </w:p>
          <w:p w14:paraId="5D7AAD51" w14:textId="77777777" w:rsidR="00174500" w:rsidRPr="004E07A2" w:rsidRDefault="00174500" w:rsidP="00F601A0">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Cs w:val="20"/>
              </w:rPr>
            </w:pPr>
            <w:r w:rsidRPr="004E07A2">
              <w:rPr>
                <w:rFonts w:asciiTheme="minorHAnsi" w:hAnsiTheme="minorHAnsi"/>
                <w:b/>
                <w:color w:val="17365D"/>
                <w:sz w:val="20"/>
                <w:szCs w:val="20"/>
              </w:rPr>
              <w:t xml:space="preserve">Rationalisation of vehicle </w:t>
            </w:r>
            <w:r w:rsidR="00F601A0">
              <w:rPr>
                <w:rFonts w:asciiTheme="minorHAnsi" w:hAnsiTheme="minorHAnsi"/>
                <w:b/>
                <w:color w:val="17365D"/>
                <w:sz w:val="20"/>
                <w:szCs w:val="20"/>
              </w:rPr>
              <w:t>types</w:t>
            </w:r>
            <w:r w:rsidRPr="004E07A2">
              <w:rPr>
                <w:rFonts w:asciiTheme="minorHAnsi" w:hAnsiTheme="minorHAnsi"/>
                <w:b/>
                <w:color w:val="17365D"/>
                <w:szCs w:val="20"/>
              </w:rPr>
              <w:t xml:space="preserve"> </w:t>
            </w:r>
          </w:p>
        </w:tc>
        <w:tc>
          <w:tcPr>
            <w:tcW w:w="4677" w:type="dxa"/>
            <w:noWrap/>
            <w:hideMark/>
          </w:tcPr>
          <w:p w14:paraId="5D7AAD52" w14:textId="77777777" w:rsidR="00174500" w:rsidRPr="004E07A2" w:rsidRDefault="00174500" w:rsidP="00F601A0">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sidRPr="004E07A2">
              <w:rPr>
                <w:rFonts w:asciiTheme="minorHAnsi" w:hAnsiTheme="minorHAnsi"/>
                <w:b/>
                <w:color w:val="17365D"/>
                <w:sz w:val="20"/>
                <w:szCs w:val="20"/>
              </w:rPr>
              <w:t>Enhanced coordination through formation of national EMS team</w:t>
            </w:r>
            <w:r w:rsidR="00F601A0">
              <w:rPr>
                <w:rFonts w:asciiTheme="minorHAnsi" w:hAnsiTheme="minorHAnsi"/>
                <w:b/>
                <w:color w:val="17365D"/>
                <w:sz w:val="20"/>
                <w:szCs w:val="20"/>
              </w:rPr>
              <w:t xml:space="preserve">, </w:t>
            </w:r>
            <w:r w:rsidR="00F601A0" w:rsidRPr="00F601A0">
              <w:rPr>
                <w:rFonts w:asciiTheme="minorHAnsi" w:hAnsiTheme="minorHAnsi"/>
                <w:b/>
                <w:color w:val="17365D"/>
                <w:sz w:val="20"/>
                <w:szCs w:val="20"/>
              </w:rPr>
              <w:t>designate EPO</w:t>
            </w:r>
            <w:r w:rsidR="00F601A0">
              <w:rPr>
                <w:rFonts w:asciiTheme="minorHAnsi" w:hAnsiTheme="minorHAnsi"/>
                <w:b/>
                <w:color w:val="17365D"/>
                <w:sz w:val="20"/>
                <w:szCs w:val="20"/>
              </w:rPr>
              <w:t>.</w:t>
            </w:r>
            <w:r w:rsidRPr="004E07A2">
              <w:rPr>
                <w:rFonts w:asciiTheme="minorHAnsi" w:hAnsiTheme="minorHAnsi"/>
                <w:b/>
                <w:color w:val="17365D"/>
                <w:sz w:val="20"/>
                <w:szCs w:val="20"/>
              </w:rPr>
              <w:t xml:space="preserve"> </w:t>
            </w:r>
          </w:p>
          <w:p w14:paraId="5D7AAD53" w14:textId="77777777" w:rsidR="00F05A4B" w:rsidRPr="004E07A2" w:rsidRDefault="00174500" w:rsidP="00357DFD">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sidRPr="004E07A2">
              <w:rPr>
                <w:rFonts w:asciiTheme="minorHAnsi" w:hAnsiTheme="minorHAnsi"/>
                <w:b/>
                <w:color w:val="17365D"/>
                <w:sz w:val="20"/>
                <w:szCs w:val="20"/>
              </w:rPr>
              <w:t>Board commitment to decarbonisation of IFI Fleet</w:t>
            </w:r>
          </w:p>
          <w:p w14:paraId="5D7AAD54" w14:textId="48995F07" w:rsidR="00357DFD" w:rsidRPr="00CB2049" w:rsidRDefault="00324D45" w:rsidP="00CB2049">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Pr>
                <w:rFonts w:asciiTheme="minorHAnsi" w:hAnsiTheme="minorHAnsi"/>
                <w:b/>
                <w:color w:val="17365D"/>
                <w:sz w:val="20"/>
                <w:szCs w:val="20"/>
              </w:rPr>
              <w:t>R</w:t>
            </w:r>
            <w:r w:rsidR="00174500" w:rsidRPr="004E07A2">
              <w:rPr>
                <w:rFonts w:asciiTheme="minorHAnsi" w:hAnsiTheme="minorHAnsi"/>
                <w:b/>
                <w:color w:val="17365D"/>
                <w:sz w:val="20"/>
                <w:szCs w:val="20"/>
              </w:rPr>
              <w:t>ationalising the fleet</w:t>
            </w:r>
            <w:r w:rsidR="0092269E">
              <w:rPr>
                <w:rFonts w:asciiTheme="minorHAnsi" w:hAnsiTheme="minorHAnsi"/>
                <w:b/>
                <w:color w:val="17365D"/>
                <w:sz w:val="20"/>
                <w:szCs w:val="20"/>
              </w:rPr>
              <w:t xml:space="preserve"> to remove carbon-intensive vehicles</w:t>
            </w:r>
            <w:r w:rsidR="00CB2049">
              <w:rPr>
                <w:rFonts w:asciiTheme="minorHAnsi" w:hAnsiTheme="minorHAnsi"/>
                <w:b/>
                <w:color w:val="17365D"/>
                <w:sz w:val="20"/>
                <w:szCs w:val="20"/>
              </w:rPr>
              <w:t>, r</w:t>
            </w:r>
            <w:r w:rsidR="00174500" w:rsidRPr="00CB2049">
              <w:rPr>
                <w:rFonts w:asciiTheme="minorHAnsi" w:hAnsiTheme="minorHAnsi"/>
                <w:b/>
                <w:color w:val="17365D"/>
                <w:sz w:val="20"/>
                <w:szCs w:val="20"/>
              </w:rPr>
              <w:t xml:space="preserve">eplacing end-of life fleet vehicles with </w:t>
            </w:r>
            <w:r w:rsidR="00357DFD" w:rsidRPr="00CB2049">
              <w:rPr>
                <w:rFonts w:asciiTheme="minorHAnsi" w:hAnsiTheme="minorHAnsi"/>
                <w:b/>
                <w:color w:val="17365D"/>
                <w:sz w:val="20"/>
                <w:szCs w:val="20"/>
              </w:rPr>
              <w:t xml:space="preserve">low- or zero-emission </w:t>
            </w:r>
            <w:proofErr w:type="gramStart"/>
            <w:r w:rsidR="00357DFD" w:rsidRPr="00CB2049">
              <w:rPr>
                <w:rFonts w:asciiTheme="minorHAnsi" w:hAnsiTheme="minorHAnsi"/>
                <w:b/>
                <w:color w:val="17365D"/>
                <w:sz w:val="20"/>
                <w:szCs w:val="20"/>
              </w:rPr>
              <w:t>variants;</w:t>
            </w:r>
            <w:proofErr w:type="gramEnd"/>
            <w:r w:rsidR="00357DFD" w:rsidRPr="00CB2049">
              <w:rPr>
                <w:rFonts w:asciiTheme="minorHAnsi" w:hAnsiTheme="minorHAnsi"/>
                <w:b/>
                <w:color w:val="17365D"/>
                <w:sz w:val="20"/>
                <w:szCs w:val="20"/>
              </w:rPr>
              <w:t xml:space="preserve"> including Green Public Procurement criteria in the purchase, or lease, of new vehicles and/or maintenance contracts.</w:t>
            </w:r>
          </w:p>
          <w:p w14:paraId="5D7AAD55" w14:textId="4AD16388" w:rsidR="00357DFD" w:rsidRPr="00324D45" w:rsidRDefault="00357DFD" w:rsidP="00324D45">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sidRPr="00324D45">
              <w:rPr>
                <w:rFonts w:asciiTheme="minorHAnsi" w:hAnsiTheme="minorHAnsi"/>
                <w:b/>
                <w:color w:val="17365D"/>
                <w:sz w:val="20"/>
                <w:szCs w:val="20"/>
              </w:rPr>
              <w:t xml:space="preserve">Continue to measure, </w:t>
            </w:r>
            <w:proofErr w:type="gramStart"/>
            <w:r w:rsidRPr="00324D45">
              <w:rPr>
                <w:rFonts w:asciiTheme="minorHAnsi" w:hAnsiTheme="minorHAnsi"/>
                <w:b/>
                <w:color w:val="17365D"/>
                <w:sz w:val="20"/>
                <w:szCs w:val="20"/>
              </w:rPr>
              <w:t>monitor</w:t>
            </w:r>
            <w:proofErr w:type="gramEnd"/>
            <w:r w:rsidRPr="00324D45">
              <w:rPr>
                <w:rFonts w:asciiTheme="minorHAnsi" w:hAnsiTheme="minorHAnsi"/>
                <w:b/>
                <w:color w:val="17365D"/>
                <w:sz w:val="20"/>
                <w:szCs w:val="20"/>
              </w:rPr>
              <w:t xml:space="preserve"> and report CO</w:t>
            </w:r>
            <w:r w:rsidRPr="00324D45">
              <w:rPr>
                <w:rFonts w:asciiTheme="minorHAnsi" w:hAnsiTheme="minorHAnsi"/>
                <w:b/>
                <w:color w:val="17365D"/>
                <w:sz w:val="20"/>
                <w:szCs w:val="20"/>
                <w:vertAlign w:val="subscript"/>
              </w:rPr>
              <w:t>2</w:t>
            </w:r>
            <w:r w:rsidRPr="00324D45">
              <w:rPr>
                <w:rFonts w:asciiTheme="minorHAnsi" w:hAnsiTheme="minorHAnsi"/>
                <w:b/>
                <w:color w:val="17365D"/>
                <w:sz w:val="20"/>
                <w:szCs w:val="20"/>
              </w:rPr>
              <w:t xml:space="preserve"> emissions</w:t>
            </w:r>
            <w:r w:rsidR="00324D45">
              <w:t xml:space="preserve"> </w:t>
            </w:r>
            <w:r w:rsidR="00324D45" w:rsidRPr="00324D45">
              <w:rPr>
                <w:rFonts w:asciiTheme="minorHAnsi" w:hAnsiTheme="minorHAnsi"/>
                <w:b/>
                <w:color w:val="17365D"/>
                <w:sz w:val="20"/>
                <w:szCs w:val="20"/>
              </w:rPr>
              <w:t xml:space="preserve">on Km's travelled, fuel usage </w:t>
            </w:r>
            <w:r w:rsidR="00324D45">
              <w:rPr>
                <w:rFonts w:asciiTheme="minorHAnsi" w:hAnsiTheme="minorHAnsi"/>
                <w:b/>
                <w:color w:val="17365D"/>
                <w:sz w:val="20"/>
                <w:szCs w:val="20"/>
              </w:rPr>
              <w:t>etc.</w:t>
            </w:r>
          </w:p>
          <w:p w14:paraId="5D7AAD56" w14:textId="77777777" w:rsidR="00357DFD" w:rsidRPr="004E07A2" w:rsidRDefault="00357DFD" w:rsidP="00357DFD">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sidRPr="004E07A2">
              <w:rPr>
                <w:rFonts w:asciiTheme="minorHAnsi" w:hAnsiTheme="minorHAnsi"/>
                <w:b/>
                <w:color w:val="17365D"/>
                <w:sz w:val="20"/>
                <w:szCs w:val="20"/>
              </w:rPr>
              <w:t>Training for staff on the optimal use of PHEVs</w:t>
            </w:r>
            <w:r w:rsidR="0092269E">
              <w:rPr>
                <w:rFonts w:asciiTheme="minorHAnsi" w:hAnsiTheme="minorHAnsi"/>
                <w:b/>
                <w:color w:val="17365D"/>
                <w:sz w:val="20"/>
                <w:szCs w:val="20"/>
              </w:rPr>
              <w:t xml:space="preserve"> when ‘on fleet’</w:t>
            </w:r>
            <w:r w:rsidR="00CB2049">
              <w:rPr>
                <w:rFonts w:asciiTheme="minorHAnsi" w:hAnsiTheme="minorHAnsi"/>
                <w:b/>
                <w:color w:val="17365D"/>
                <w:sz w:val="20"/>
                <w:szCs w:val="20"/>
              </w:rPr>
              <w:t>, ‘eco-driving’ training</w:t>
            </w:r>
          </w:p>
          <w:p w14:paraId="5D7AAD57" w14:textId="77777777" w:rsidR="00357DFD" w:rsidRPr="004E07A2" w:rsidRDefault="00357DFD" w:rsidP="00357DFD">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sidRPr="004E07A2">
              <w:rPr>
                <w:rFonts w:asciiTheme="minorHAnsi" w:hAnsiTheme="minorHAnsi"/>
                <w:b/>
                <w:color w:val="17365D"/>
                <w:sz w:val="20"/>
                <w:szCs w:val="20"/>
              </w:rPr>
              <w:t>Set targets for annual improvements in the overall IFI transport emissions profile.</w:t>
            </w:r>
          </w:p>
          <w:p w14:paraId="5D7AAD58" w14:textId="091A83C4" w:rsidR="00174500" w:rsidRPr="00CB2049" w:rsidRDefault="00357DFD" w:rsidP="00324D45">
            <w:pPr>
              <w:pStyle w:val="ListParagraph"/>
              <w:numPr>
                <w:ilvl w:val="0"/>
                <w:numId w:val="4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sz w:val="20"/>
                <w:szCs w:val="20"/>
              </w:rPr>
            </w:pPr>
            <w:r w:rsidRPr="004E07A2">
              <w:rPr>
                <w:rFonts w:asciiTheme="minorHAnsi" w:hAnsiTheme="minorHAnsi"/>
                <w:b/>
                <w:color w:val="17365D"/>
                <w:sz w:val="20"/>
                <w:szCs w:val="20"/>
              </w:rPr>
              <w:t xml:space="preserve">Provide </w:t>
            </w:r>
            <w:r w:rsidR="00324D45">
              <w:rPr>
                <w:rFonts w:asciiTheme="minorHAnsi" w:hAnsiTheme="minorHAnsi"/>
                <w:b/>
                <w:color w:val="17365D"/>
                <w:sz w:val="20"/>
                <w:szCs w:val="20"/>
              </w:rPr>
              <w:t>a significant increase in the number of</w:t>
            </w:r>
            <w:r w:rsidRPr="004E07A2">
              <w:rPr>
                <w:rFonts w:asciiTheme="minorHAnsi" w:hAnsiTheme="minorHAnsi"/>
                <w:b/>
                <w:color w:val="17365D"/>
                <w:sz w:val="20"/>
                <w:szCs w:val="20"/>
              </w:rPr>
              <w:t xml:space="preserve"> </w:t>
            </w:r>
            <w:proofErr w:type="gramStart"/>
            <w:r w:rsidRPr="004E07A2">
              <w:rPr>
                <w:rFonts w:asciiTheme="minorHAnsi" w:hAnsiTheme="minorHAnsi"/>
                <w:b/>
                <w:color w:val="17365D"/>
                <w:sz w:val="20"/>
                <w:szCs w:val="20"/>
              </w:rPr>
              <w:t>vehicle</w:t>
            </w:r>
            <w:proofErr w:type="gramEnd"/>
            <w:r w:rsidRPr="004E07A2">
              <w:rPr>
                <w:rFonts w:asciiTheme="minorHAnsi" w:hAnsiTheme="minorHAnsi"/>
                <w:b/>
                <w:color w:val="17365D"/>
                <w:sz w:val="20"/>
                <w:szCs w:val="20"/>
              </w:rPr>
              <w:t xml:space="preserve"> charging points at IFI site</w:t>
            </w:r>
            <w:r w:rsidR="00CB2049">
              <w:rPr>
                <w:rFonts w:asciiTheme="minorHAnsi" w:hAnsiTheme="minorHAnsi"/>
                <w:b/>
                <w:color w:val="17365D"/>
                <w:sz w:val="20"/>
                <w:szCs w:val="20"/>
              </w:rPr>
              <w:t>s</w:t>
            </w:r>
          </w:p>
        </w:tc>
      </w:tr>
      <w:tr w:rsidR="00F05A4B" w:rsidRPr="004E07A2" w14:paraId="5D7AAD62" w14:textId="77777777" w:rsidTr="00F05A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2" w:type="dxa"/>
            <w:noWrap/>
          </w:tcPr>
          <w:p w14:paraId="5D7AAD5A" w14:textId="77777777" w:rsidR="00F05A4B" w:rsidRPr="004E07A2" w:rsidRDefault="00357DFD" w:rsidP="006B1854">
            <w:pPr>
              <w:rPr>
                <w:rFonts w:asciiTheme="minorHAnsi" w:hAnsiTheme="minorHAnsi"/>
                <w:color w:val="17365D"/>
                <w:szCs w:val="20"/>
                <w:lang w:val="en-IE"/>
              </w:rPr>
            </w:pPr>
            <w:r w:rsidRPr="004E07A2">
              <w:rPr>
                <w:rFonts w:asciiTheme="minorHAnsi" w:hAnsiTheme="minorHAnsi"/>
                <w:color w:val="17365D"/>
                <w:szCs w:val="20"/>
                <w:lang w:val="en-IE"/>
              </w:rPr>
              <w:t>WATER</w:t>
            </w:r>
            <w:r w:rsidR="006B1854" w:rsidRPr="004E07A2">
              <w:rPr>
                <w:rFonts w:asciiTheme="minorHAnsi" w:hAnsiTheme="minorHAnsi"/>
                <w:color w:val="17365D"/>
                <w:szCs w:val="20"/>
                <w:lang w:val="en-IE"/>
              </w:rPr>
              <w:t xml:space="preserve"> &amp; WASTE</w:t>
            </w:r>
          </w:p>
        </w:tc>
        <w:tc>
          <w:tcPr>
            <w:tcW w:w="4253" w:type="dxa"/>
            <w:noWrap/>
          </w:tcPr>
          <w:p w14:paraId="5D7AAD5B" w14:textId="77777777" w:rsidR="00F05A4B" w:rsidRPr="00CB2049" w:rsidRDefault="00357DFD" w:rsidP="006B185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Cs w:val="20"/>
                <w:lang w:val="en-IE"/>
              </w:rPr>
            </w:pPr>
            <w:r w:rsidRPr="00CB2049">
              <w:rPr>
                <w:rFonts w:asciiTheme="minorHAnsi" w:hAnsiTheme="minorHAnsi"/>
                <w:color w:val="17365D"/>
                <w:szCs w:val="20"/>
                <w:lang w:val="en-IE"/>
              </w:rPr>
              <w:t>IFI strive</w:t>
            </w:r>
            <w:r w:rsidR="006B1854" w:rsidRPr="00CB2049">
              <w:rPr>
                <w:rFonts w:asciiTheme="minorHAnsi" w:hAnsiTheme="minorHAnsi"/>
                <w:color w:val="17365D"/>
                <w:szCs w:val="20"/>
                <w:lang w:val="en-IE"/>
              </w:rPr>
              <w:t>s</w:t>
            </w:r>
            <w:r w:rsidRPr="00CB2049">
              <w:rPr>
                <w:rFonts w:asciiTheme="minorHAnsi" w:hAnsiTheme="minorHAnsi"/>
                <w:color w:val="17365D"/>
                <w:szCs w:val="20"/>
                <w:lang w:val="en-IE"/>
              </w:rPr>
              <w:t xml:space="preserve"> to conserve </w:t>
            </w:r>
            <w:r w:rsidR="006B1854" w:rsidRPr="00CB2049">
              <w:rPr>
                <w:rFonts w:asciiTheme="minorHAnsi" w:hAnsiTheme="minorHAnsi"/>
                <w:color w:val="17365D"/>
                <w:szCs w:val="20"/>
                <w:lang w:val="en-IE"/>
              </w:rPr>
              <w:t xml:space="preserve">and protect valuable </w:t>
            </w:r>
            <w:r w:rsidRPr="00CB2049">
              <w:rPr>
                <w:rFonts w:asciiTheme="minorHAnsi" w:hAnsiTheme="minorHAnsi"/>
                <w:color w:val="17365D"/>
                <w:szCs w:val="20"/>
                <w:lang w:val="en-IE"/>
              </w:rPr>
              <w:t xml:space="preserve">water </w:t>
            </w:r>
            <w:r w:rsidR="006B1854" w:rsidRPr="00CB2049">
              <w:rPr>
                <w:rFonts w:asciiTheme="minorHAnsi" w:hAnsiTheme="minorHAnsi"/>
                <w:color w:val="17365D"/>
                <w:szCs w:val="20"/>
                <w:lang w:val="en-IE"/>
              </w:rPr>
              <w:t>resources as a core component of IFI’s remit.</w:t>
            </w:r>
            <w:r w:rsidRPr="00CB2049">
              <w:rPr>
                <w:rFonts w:asciiTheme="minorHAnsi" w:hAnsiTheme="minorHAnsi"/>
                <w:color w:val="17365D"/>
                <w:szCs w:val="20"/>
                <w:lang w:val="en-IE"/>
              </w:rPr>
              <w:t xml:space="preserve"> </w:t>
            </w:r>
            <w:r w:rsidR="006B1854" w:rsidRPr="00CB2049">
              <w:rPr>
                <w:rFonts w:asciiTheme="minorHAnsi" w:hAnsiTheme="minorHAnsi"/>
                <w:color w:val="17365D"/>
                <w:szCs w:val="20"/>
                <w:lang w:val="en-IE"/>
              </w:rPr>
              <w:t>Waste initiatives have not been coordinated throughout the country. T</w:t>
            </w:r>
            <w:r w:rsidRPr="00CB2049">
              <w:rPr>
                <w:rFonts w:asciiTheme="minorHAnsi" w:hAnsiTheme="minorHAnsi"/>
                <w:color w:val="17365D"/>
                <w:szCs w:val="20"/>
                <w:lang w:val="en-IE"/>
              </w:rPr>
              <w:t xml:space="preserve">argeted actions are </w:t>
            </w:r>
            <w:r w:rsidR="006B1854" w:rsidRPr="00CB2049">
              <w:rPr>
                <w:rFonts w:asciiTheme="minorHAnsi" w:hAnsiTheme="minorHAnsi"/>
                <w:color w:val="17365D"/>
                <w:szCs w:val="20"/>
                <w:lang w:val="en-IE"/>
              </w:rPr>
              <w:t xml:space="preserve">inconsistently employed throughout the country at IFI properties however a number of initiatives have been developed including greywater </w:t>
            </w:r>
            <w:r w:rsidR="006B1854" w:rsidRPr="00CB2049">
              <w:rPr>
                <w:rFonts w:asciiTheme="minorHAnsi" w:hAnsiTheme="minorHAnsi"/>
                <w:color w:val="17365D"/>
                <w:szCs w:val="20"/>
                <w:lang w:val="en-IE"/>
              </w:rPr>
              <w:lastRenderedPageBreak/>
              <w:t xml:space="preserve">harvesting, paper </w:t>
            </w:r>
            <w:proofErr w:type="gramStart"/>
            <w:r w:rsidR="006B1854" w:rsidRPr="00CB2049">
              <w:rPr>
                <w:rFonts w:asciiTheme="minorHAnsi" w:hAnsiTheme="minorHAnsi"/>
                <w:color w:val="17365D"/>
                <w:szCs w:val="20"/>
                <w:lang w:val="en-IE"/>
              </w:rPr>
              <w:t>recycling,  etc</w:t>
            </w:r>
            <w:proofErr w:type="gramEnd"/>
            <w:r w:rsidR="006B1854" w:rsidRPr="00CB2049">
              <w:rPr>
                <w:rFonts w:asciiTheme="minorHAnsi" w:hAnsiTheme="minorHAnsi"/>
                <w:color w:val="17365D"/>
                <w:szCs w:val="20"/>
                <w:lang w:val="en-IE"/>
              </w:rPr>
              <w:t xml:space="preserve">…. </w:t>
            </w:r>
          </w:p>
        </w:tc>
        <w:tc>
          <w:tcPr>
            <w:tcW w:w="4677" w:type="dxa"/>
            <w:noWrap/>
          </w:tcPr>
          <w:p w14:paraId="5D7AAD5C" w14:textId="77777777" w:rsidR="00CB2049" w:rsidRPr="00F601A0" w:rsidRDefault="006B1854" w:rsidP="00F601A0">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CB2049">
              <w:rPr>
                <w:rFonts w:asciiTheme="minorHAnsi" w:hAnsiTheme="minorHAnsi"/>
                <w:color w:val="17365D"/>
                <w:sz w:val="20"/>
                <w:szCs w:val="20"/>
              </w:rPr>
              <w:lastRenderedPageBreak/>
              <w:t>Enhanced coordination through formation of national EMS team</w:t>
            </w:r>
            <w:r w:rsidR="00F601A0">
              <w:rPr>
                <w:rFonts w:asciiTheme="minorHAnsi" w:hAnsiTheme="minorHAnsi"/>
                <w:color w:val="17365D"/>
                <w:sz w:val="20"/>
                <w:szCs w:val="20"/>
              </w:rPr>
              <w:t>, designate EPO</w:t>
            </w:r>
          </w:p>
          <w:p w14:paraId="5D7AAD5D" w14:textId="77777777" w:rsidR="006B1854" w:rsidRPr="00CB2049" w:rsidRDefault="006B1854" w:rsidP="006B1854">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CB2049">
              <w:rPr>
                <w:rFonts w:asciiTheme="minorHAnsi" w:hAnsiTheme="minorHAnsi"/>
                <w:color w:val="17365D"/>
                <w:sz w:val="20"/>
                <w:szCs w:val="20"/>
              </w:rPr>
              <w:t>Water conservation / waste management measures at each IFI site to include:</w:t>
            </w:r>
          </w:p>
          <w:p w14:paraId="5D7AAD5E" w14:textId="77777777" w:rsidR="006B1854" w:rsidRPr="00CB2049" w:rsidRDefault="006B1854" w:rsidP="006B1854">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CB2049">
              <w:rPr>
                <w:rFonts w:asciiTheme="minorHAnsi" w:hAnsiTheme="minorHAnsi"/>
                <w:color w:val="17365D"/>
                <w:sz w:val="20"/>
                <w:szCs w:val="20"/>
              </w:rPr>
              <w:t>Green bins paper recycling system for all IFI offices</w:t>
            </w:r>
          </w:p>
          <w:p w14:paraId="5D7AAD5F" w14:textId="77777777" w:rsidR="006B1854" w:rsidRPr="00CB2049" w:rsidRDefault="006B1854" w:rsidP="006B1854">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CB2049">
              <w:rPr>
                <w:rFonts w:asciiTheme="minorHAnsi" w:hAnsiTheme="minorHAnsi"/>
                <w:color w:val="17365D"/>
                <w:sz w:val="20"/>
                <w:szCs w:val="20"/>
              </w:rPr>
              <w:lastRenderedPageBreak/>
              <w:t>Rainwater harvesting for all IFI sites</w:t>
            </w:r>
          </w:p>
          <w:p w14:paraId="5D7AAD60" w14:textId="77777777" w:rsidR="006B1854" w:rsidRPr="00CB2049" w:rsidRDefault="006B1854" w:rsidP="006B1854">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CB2049">
              <w:rPr>
                <w:rFonts w:asciiTheme="minorHAnsi" w:hAnsiTheme="minorHAnsi"/>
                <w:color w:val="17365D"/>
                <w:sz w:val="20"/>
                <w:szCs w:val="20"/>
              </w:rPr>
              <w:t>Greywater re-use systems roll-out</w:t>
            </w:r>
          </w:p>
          <w:p w14:paraId="1AC9A5D9" w14:textId="77777777" w:rsidR="006B1854" w:rsidRDefault="006B1854" w:rsidP="006B1854">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sidRPr="00CB2049">
              <w:rPr>
                <w:rFonts w:asciiTheme="minorHAnsi" w:hAnsiTheme="minorHAnsi"/>
                <w:color w:val="17365D"/>
                <w:sz w:val="20"/>
                <w:szCs w:val="20"/>
              </w:rPr>
              <w:t>Wastewater systems upgrades / maintenance contracts review and renewal</w:t>
            </w:r>
          </w:p>
          <w:p w14:paraId="4839379E" w14:textId="77777777" w:rsidR="007F09F5" w:rsidRDefault="007F09F5" w:rsidP="006B1854">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Pr>
                <w:rFonts w:asciiTheme="minorHAnsi" w:hAnsiTheme="minorHAnsi"/>
                <w:color w:val="17365D"/>
                <w:sz w:val="20"/>
                <w:szCs w:val="20"/>
              </w:rPr>
              <w:t>Removal of single use plastics</w:t>
            </w:r>
          </w:p>
          <w:p w14:paraId="6F089C67" w14:textId="77777777" w:rsidR="007F09F5" w:rsidRDefault="007F09F5" w:rsidP="006B1854">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Pr>
                <w:rFonts w:asciiTheme="minorHAnsi" w:hAnsiTheme="minorHAnsi"/>
                <w:color w:val="17365D"/>
                <w:sz w:val="20"/>
                <w:szCs w:val="20"/>
              </w:rPr>
              <w:t>Distribution of IFI reusable cups to all staff</w:t>
            </w:r>
          </w:p>
          <w:p w14:paraId="5D7AAD61" w14:textId="17970EE5" w:rsidR="007F09F5" w:rsidRPr="00CB2049" w:rsidRDefault="007F09F5" w:rsidP="006B1854">
            <w:pPr>
              <w:pStyle w:val="ListParagraph"/>
              <w:numPr>
                <w:ilvl w:val="0"/>
                <w:numId w:val="40"/>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sz w:val="20"/>
                <w:szCs w:val="20"/>
              </w:rPr>
            </w:pPr>
            <w:r>
              <w:rPr>
                <w:rFonts w:asciiTheme="minorHAnsi" w:hAnsiTheme="minorHAnsi"/>
                <w:color w:val="17365D"/>
                <w:sz w:val="20"/>
                <w:szCs w:val="20"/>
              </w:rPr>
              <w:t>Information campaigns</w:t>
            </w:r>
          </w:p>
        </w:tc>
      </w:tr>
    </w:tbl>
    <w:p w14:paraId="5D7AAD63" w14:textId="38650C56" w:rsidR="00D93B3E" w:rsidRPr="004E07A2" w:rsidRDefault="00D93B3E" w:rsidP="00D93B3E">
      <w:pPr>
        <w:pStyle w:val="DeeStyle1"/>
        <w:rPr>
          <w:b w:val="0"/>
          <w:color w:val="17365D"/>
          <w:szCs w:val="20"/>
          <w:lang w:val="en-IE"/>
        </w:rPr>
      </w:pPr>
    </w:p>
    <w:p w14:paraId="5D7AAD64" w14:textId="77777777" w:rsidR="00996076" w:rsidRDefault="00996076" w:rsidP="004537B7">
      <w:pPr>
        <w:pStyle w:val="DeeStyle1"/>
        <w:spacing w:line="276" w:lineRule="auto"/>
        <w:rPr>
          <w:b w:val="0"/>
          <w:color w:val="auto"/>
          <w:szCs w:val="20"/>
          <w:lang w:val="en-IE"/>
        </w:rPr>
      </w:pPr>
    </w:p>
    <w:p w14:paraId="5D7AAD65" w14:textId="77777777" w:rsidR="0061787F" w:rsidRDefault="0061787F" w:rsidP="004537B7">
      <w:pPr>
        <w:pStyle w:val="DeeStyle1"/>
        <w:spacing w:line="276" w:lineRule="auto"/>
        <w:rPr>
          <w:b w:val="0"/>
          <w:color w:val="auto"/>
          <w:szCs w:val="20"/>
          <w:lang w:val="en-IE"/>
        </w:rPr>
      </w:pPr>
    </w:p>
    <w:p w14:paraId="5D7AAD66" w14:textId="77777777" w:rsidR="0061787F" w:rsidRDefault="0061787F" w:rsidP="004537B7">
      <w:pPr>
        <w:pStyle w:val="DeeStyle1"/>
        <w:spacing w:line="276" w:lineRule="auto"/>
        <w:rPr>
          <w:b w:val="0"/>
          <w:color w:val="auto"/>
          <w:szCs w:val="20"/>
          <w:lang w:val="en-IE"/>
        </w:rPr>
      </w:pPr>
      <w:r>
        <w:rPr>
          <w:b w:val="0"/>
          <w:color w:val="auto"/>
          <w:szCs w:val="20"/>
          <w:lang w:val="en-IE"/>
        </w:rPr>
        <w:t>WHAT IF</w:t>
      </w:r>
      <w:proofErr w:type="gramStart"/>
      <w:r>
        <w:rPr>
          <w:b w:val="0"/>
          <w:color w:val="auto"/>
          <w:szCs w:val="20"/>
          <w:lang w:val="en-IE"/>
        </w:rPr>
        <w:t>…..</w:t>
      </w:r>
      <w:proofErr w:type="gramEnd"/>
    </w:p>
    <w:p w14:paraId="5D7AAD67" w14:textId="77777777" w:rsidR="0061787F" w:rsidRDefault="0061787F" w:rsidP="004537B7">
      <w:pPr>
        <w:pStyle w:val="DeeStyle1"/>
        <w:spacing w:line="276" w:lineRule="auto"/>
        <w:rPr>
          <w:b w:val="0"/>
          <w:color w:val="auto"/>
          <w:szCs w:val="20"/>
          <w:lang w:val="en-IE"/>
        </w:rPr>
      </w:pPr>
    </w:p>
    <w:p w14:paraId="5D7AAD68" w14:textId="77777777" w:rsidR="0061787F" w:rsidRDefault="0061787F" w:rsidP="0061787F">
      <w:pPr>
        <w:pStyle w:val="DeeStyle1"/>
        <w:jc w:val="center"/>
        <w:rPr>
          <w:b w:val="0"/>
          <w:color w:val="auto"/>
          <w:sz w:val="22"/>
          <w:szCs w:val="22"/>
          <w:lang w:val="en-IE"/>
        </w:rPr>
      </w:pPr>
      <w:r>
        <w:rPr>
          <w:b w:val="0"/>
          <w:noProof/>
          <w:color w:val="auto"/>
          <w:sz w:val="22"/>
          <w:szCs w:val="22"/>
          <w:lang w:val="en-IE" w:eastAsia="en-IE"/>
        </w:rPr>
        <w:drawing>
          <wp:inline distT="0" distB="0" distL="0" distR="0" wp14:anchorId="5D7AAD7D" wp14:editId="5D7AAD7E">
            <wp:extent cx="4860000" cy="3464980"/>
            <wp:effectExtent l="19050" t="19050" r="17145" b="215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0000" cy="3464980"/>
                    </a:xfrm>
                    <a:prstGeom prst="rect">
                      <a:avLst/>
                    </a:prstGeom>
                    <a:noFill/>
                    <a:ln>
                      <a:solidFill>
                        <a:schemeClr val="tx1"/>
                      </a:solidFill>
                    </a:ln>
                  </pic:spPr>
                </pic:pic>
              </a:graphicData>
            </a:graphic>
          </wp:inline>
        </w:drawing>
      </w:r>
    </w:p>
    <w:p w14:paraId="5D7AAD69" w14:textId="77777777" w:rsidR="0061787F" w:rsidRDefault="0061787F" w:rsidP="00B65095">
      <w:pPr>
        <w:pStyle w:val="DeeStyle1"/>
        <w:rPr>
          <w:b w:val="0"/>
          <w:color w:val="auto"/>
          <w:sz w:val="22"/>
          <w:szCs w:val="22"/>
          <w:lang w:val="en-IE"/>
        </w:rPr>
      </w:pPr>
    </w:p>
    <w:p w14:paraId="5D7AAD6A" w14:textId="77777777" w:rsidR="0061787F" w:rsidRDefault="0061787F" w:rsidP="00B65095">
      <w:pPr>
        <w:pStyle w:val="DeeStyle1"/>
        <w:rPr>
          <w:b w:val="0"/>
          <w:color w:val="auto"/>
          <w:sz w:val="22"/>
          <w:szCs w:val="22"/>
          <w:lang w:val="en-IE"/>
        </w:rPr>
      </w:pPr>
    </w:p>
    <w:p w14:paraId="5D7AAD6B" w14:textId="77777777" w:rsidR="0061787F" w:rsidRDefault="0061787F" w:rsidP="009B2EFD">
      <w:pPr>
        <w:pStyle w:val="DeeStyle1"/>
        <w:jc w:val="center"/>
        <w:rPr>
          <w:b w:val="0"/>
          <w:color w:val="auto"/>
          <w:sz w:val="22"/>
          <w:szCs w:val="22"/>
          <w:lang w:val="en-IE"/>
        </w:rPr>
      </w:pPr>
      <w:r>
        <w:rPr>
          <w:noProof/>
          <w:lang w:val="en-IE" w:eastAsia="en-IE"/>
        </w:rPr>
        <w:lastRenderedPageBreak/>
        <w:drawing>
          <wp:inline distT="0" distB="0" distL="0" distR="0" wp14:anchorId="5D7AAD7F" wp14:editId="5D7AAD80">
            <wp:extent cx="4860000" cy="2948715"/>
            <wp:effectExtent l="19050" t="19050" r="17145" b="2349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60000" cy="2948715"/>
                    </a:xfrm>
                    <a:prstGeom prst="rect">
                      <a:avLst/>
                    </a:prstGeom>
                    <a:ln>
                      <a:solidFill>
                        <a:schemeClr val="tx1"/>
                      </a:solidFill>
                    </a:ln>
                  </pic:spPr>
                </pic:pic>
              </a:graphicData>
            </a:graphic>
          </wp:inline>
        </w:drawing>
      </w:r>
    </w:p>
    <w:p w14:paraId="5D7AAD6C" w14:textId="77777777" w:rsidR="0061787F" w:rsidRPr="0061787F" w:rsidRDefault="0061787F" w:rsidP="0061787F">
      <w:pPr>
        <w:autoSpaceDE w:val="0"/>
        <w:autoSpaceDN w:val="0"/>
        <w:adjustRightInd w:val="0"/>
        <w:rPr>
          <w:rFonts w:cs="Arial"/>
          <w:i/>
          <w:iCs/>
          <w:color w:val="000000"/>
          <w:szCs w:val="20"/>
          <w:lang w:val="en-IE" w:eastAsia="en-IE"/>
        </w:rPr>
      </w:pPr>
      <w:proofErr w:type="gramStart"/>
      <w:r>
        <w:rPr>
          <w:rFonts w:cs="Arial"/>
          <w:color w:val="000000"/>
          <w:szCs w:val="20"/>
          <w:lang w:val="en-IE" w:eastAsia="en-IE"/>
        </w:rPr>
        <w:t>Figure .</w:t>
      </w:r>
      <w:proofErr w:type="gramEnd"/>
      <w:r>
        <w:rPr>
          <w:rFonts w:cs="Arial"/>
          <w:color w:val="000000"/>
          <w:szCs w:val="20"/>
          <w:lang w:val="en-IE" w:eastAsia="en-IE"/>
        </w:rPr>
        <w:t xml:space="preserve"> Avoiding the impacts of dangerous climate change </w:t>
      </w:r>
      <w:r>
        <w:rPr>
          <w:rFonts w:cs="Arial"/>
          <w:i/>
          <w:iCs/>
          <w:color w:val="333333"/>
          <w:sz w:val="22"/>
          <w:szCs w:val="22"/>
          <w:lang w:val="en-IE" w:eastAsia="en-IE"/>
        </w:rPr>
        <w:t xml:space="preserve">(Source: </w:t>
      </w:r>
      <w:r>
        <w:rPr>
          <w:rFonts w:cs="Arial"/>
          <w:i/>
          <w:iCs/>
          <w:color w:val="000000"/>
          <w:szCs w:val="20"/>
          <w:lang w:val="en-IE" w:eastAsia="en-IE"/>
        </w:rPr>
        <w:t xml:space="preserve">AVOID2 infographic </w:t>
      </w:r>
      <w:r w:rsidRPr="0061787F">
        <w:rPr>
          <w:rFonts w:cs="Arial"/>
          <w:i/>
          <w:iCs/>
          <w:szCs w:val="20"/>
          <w:lang w:val="en-IE" w:eastAsia="en-IE"/>
        </w:rPr>
        <w:t xml:space="preserve">mapping the impacts of climate change, </w:t>
      </w:r>
      <w:r>
        <w:rPr>
          <w:rFonts w:cs="Arial"/>
          <w:i/>
          <w:iCs/>
          <w:color w:val="000000"/>
          <w:szCs w:val="20"/>
          <w:lang w:val="en-IE" w:eastAsia="en-IE"/>
        </w:rPr>
        <w:t>December 2015)</w:t>
      </w:r>
    </w:p>
    <w:p w14:paraId="5D7AAD6D" w14:textId="77777777" w:rsidR="0061787F" w:rsidRDefault="0061787F" w:rsidP="00B65095">
      <w:pPr>
        <w:pStyle w:val="DeeStyle1"/>
        <w:rPr>
          <w:b w:val="0"/>
          <w:color w:val="auto"/>
          <w:sz w:val="22"/>
          <w:szCs w:val="22"/>
          <w:lang w:val="en-IE"/>
        </w:rPr>
      </w:pPr>
    </w:p>
    <w:p w14:paraId="5D7AAD6E" w14:textId="77777777" w:rsidR="00B65095" w:rsidRDefault="00B65095" w:rsidP="00B65095">
      <w:pPr>
        <w:pStyle w:val="DeeStyle1"/>
        <w:rPr>
          <w:b w:val="0"/>
          <w:color w:val="auto"/>
          <w:sz w:val="22"/>
          <w:szCs w:val="22"/>
          <w:lang w:val="en-IE"/>
        </w:rPr>
      </w:pPr>
      <w:r>
        <w:rPr>
          <w:b w:val="0"/>
          <w:color w:val="auto"/>
          <w:sz w:val="22"/>
          <w:szCs w:val="22"/>
          <w:lang w:val="en-IE"/>
        </w:rPr>
        <w:t xml:space="preserve">Action 2. </w:t>
      </w:r>
      <w:r w:rsidR="00B43E78">
        <w:rPr>
          <w:b w:val="0"/>
          <w:color w:val="auto"/>
          <w:sz w:val="22"/>
          <w:szCs w:val="22"/>
          <w:lang w:val="en-IE"/>
        </w:rPr>
        <w:t>Develop a climate monitoring and mitigation strategy for the Inland Fisheries Resource.</w:t>
      </w:r>
    </w:p>
    <w:p w14:paraId="5D7AAD6F" w14:textId="77777777" w:rsidR="00B43E78" w:rsidRPr="004E07A2" w:rsidRDefault="00B43E78" w:rsidP="00B65095">
      <w:pPr>
        <w:pStyle w:val="DeeStyle1"/>
        <w:rPr>
          <w:b w:val="0"/>
          <w:color w:val="auto"/>
          <w:sz w:val="22"/>
          <w:szCs w:val="22"/>
          <w:lang w:val="en-IE"/>
        </w:rPr>
      </w:pPr>
    </w:p>
    <w:p w14:paraId="5D7AAD70" w14:textId="58283CDF" w:rsidR="00B65095" w:rsidRPr="00DC3F9A" w:rsidRDefault="00124D6E" w:rsidP="004537B7">
      <w:pPr>
        <w:pStyle w:val="DeeStyle1"/>
        <w:spacing w:line="276" w:lineRule="auto"/>
        <w:rPr>
          <w:color w:val="FF0000"/>
          <w:szCs w:val="20"/>
          <w:lang w:val="en-IE"/>
        </w:rPr>
      </w:pPr>
      <w:r>
        <w:rPr>
          <w:color w:val="FF0000"/>
          <w:szCs w:val="20"/>
          <w:lang w:val="en-IE"/>
        </w:rPr>
        <w:t>ADDITIONAL CONTENT…</w:t>
      </w:r>
    </w:p>
    <w:sectPr w:rsidR="00B65095" w:rsidRPr="00DC3F9A" w:rsidSect="00357DFD">
      <w:pgSz w:w="12240" w:h="15840" w:code="1"/>
      <w:pgMar w:top="1276"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BB7E" w14:textId="77777777" w:rsidR="00136016" w:rsidRDefault="00136016">
      <w:r>
        <w:separator/>
      </w:r>
    </w:p>
  </w:endnote>
  <w:endnote w:type="continuationSeparator" w:id="0">
    <w:p w14:paraId="05F5CBE9" w14:textId="77777777" w:rsidR="00136016" w:rsidRDefault="00136016">
      <w:r>
        <w:continuationSeparator/>
      </w:r>
    </w:p>
  </w:endnote>
  <w:endnote w:type="continuationNotice" w:id="1">
    <w:p w14:paraId="2050AE82" w14:textId="77777777" w:rsidR="007C5364" w:rsidRDefault="007C5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7583" w14:textId="77777777" w:rsidR="00136016" w:rsidRDefault="00136016">
      <w:r>
        <w:separator/>
      </w:r>
    </w:p>
  </w:footnote>
  <w:footnote w:type="continuationSeparator" w:id="0">
    <w:p w14:paraId="64CAD8D6" w14:textId="77777777" w:rsidR="00136016" w:rsidRDefault="00136016">
      <w:r>
        <w:continuationSeparator/>
      </w:r>
    </w:p>
  </w:footnote>
  <w:footnote w:type="continuationNotice" w:id="1">
    <w:p w14:paraId="69F6877F" w14:textId="77777777" w:rsidR="007C5364" w:rsidRDefault="007C53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A4E2A06"/>
    <w:lvl w:ilvl="0">
      <w:start w:val="1"/>
      <w:numFmt w:val="decimal"/>
      <w:pStyle w:val="ListNumber4"/>
      <w:lvlText w:val="%1."/>
      <w:lvlJc w:val="left"/>
      <w:pPr>
        <w:tabs>
          <w:tab w:val="num" w:pos="1440"/>
        </w:tabs>
        <w:ind w:left="1440" w:hanging="360"/>
      </w:pPr>
    </w:lvl>
  </w:abstractNum>
  <w:abstractNum w:abstractNumId="1" w15:restartNumberingAfterBreak="0">
    <w:nsid w:val="07660675"/>
    <w:multiLevelType w:val="hybridMultilevel"/>
    <w:tmpl w:val="F49CB516"/>
    <w:lvl w:ilvl="0" w:tplc="C9044322">
      <w:start w:val="1"/>
      <w:numFmt w:val="decimal"/>
      <w:lvlText w:val="%1."/>
      <w:lvlJc w:val="left"/>
      <w:pPr>
        <w:ind w:left="825" w:hanging="46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B318F5"/>
    <w:multiLevelType w:val="hybridMultilevel"/>
    <w:tmpl w:val="FEF6F270"/>
    <w:lvl w:ilvl="0" w:tplc="18090015">
      <w:start w:val="3"/>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408A8"/>
    <w:multiLevelType w:val="hybridMultilevel"/>
    <w:tmpl w:val="0A442446"/>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B812AC"/>
    <w:multiLevelType w:val="hybridMultilevel"/>
    <w:tmpl w:val="E508EE22"/>
    <w:lvl w:ilvl="0" w:tplc="1DF0E4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5510B8"/>
    <w:multiLevelType w:val="hybridMultilevel"/>
    <w:tmpl w:val="3C40E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393C05"/>
    <w:multiLevelType w:val="multilevel"/>
    <w:tmpl w:val="8E42E7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2561272"/>
    <w:multiLevelType w:val="hybridMultilevel"/>
    <w:tmpl w:val="9D9E66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51D410E"/>
    <w:multiLevelType w:val="multilevel"/>
    <w:tmpl w:val="6DEEA736"/>
    <w:styleLink w:val="StyleNumberedItalic1"/>
    <w:lvl w:ilvl="0">
      <w:start w:val="1"/>
      <w:numFmt w:val="decimal"/>
      <w:lvlText w:val="%1."/>
      <w:lvlJc w:val="left"/>
      <w:pPr>
        <w:tabs>
          <w:tab w:val="num" w:pos="5400"/>
        </w:tabs>
        <w:ind w:left="5400" w:hanging="3600"/>
      </w:pPr>
      <w:rPr>
        <w:rFonts w:ascii="Arial" w:hAnsi="Arial" w:hint="default"/>
        <w:i/>
        <w:i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ascii="Arial" w:hAnsi="Arial"/>
        <w:i/>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1C2F8B"/>
    <w:multiLevelType w:val="hybridMultilevel"/>
    <w:tmpl w:val="83F0F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0A0326"/>
    <w:multiLevelType w:val="multilevel"/>
    <w:tmpl w:val="CF76641E"/>
    <w:styleLink w:val="List--level1"/>
    <w:lvl w:ilvl="0">
      <w:start w:val="1"/>
      <w:numFmt w:val="decimal"/>
      <w:pStyle w:val="List-level4"/>
      <w:lvlText w:val="%1."/>
      <w:lvlJc w:val="left"/>
      <w:pPr>
        <w:tabs>
          <w:tab w:val="num" w:pos="720"/>
        </w:tabs>
        <w:ind w:left="720" w:hanging="360"/>
      </w:pPr>
      <w:rPr>
        <w:rFonts w:ascii="Arial" w:hAnsi="Arial"/>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8420A5"/>
    <w:multiLevelType w:val="hybridMultilevel"/>
    <w:tmpl w:val="45F4FA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AE7B58"/>
    <w:multiLevelType w:val="hybridMultilevel"/>
    <w:tmpl w:val="71B476F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DF2021B"/>
    <w:multiLevelType w:val="hybridMultilevel"/>
    <w:tmpl w:val="EC38E0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ED20393"/>
    <w:multiLevelType w:val="hybridMultilevel"/>
    <w:tmpl w:val="2278AE5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1881F02"/>
    <w:multiLevelType w:val="hybridMultilevel"/>
    <w:tmpl w:val="55586F8A"/>
    <w:lvl w:ilvl="0" w:tplc="FEDE2128">
      <w:start w:val="1"/>
      <w:numFmt w:val="upperLetter"/>
      <w:lvlText w:val="%1."/>
      <w:lvlJc w:val="left"/>
      <w:pPr>
        <w:ind w:left="760" w:hanging="360"/>
      </w:pPr>
      <w:rPr>
        <w:rFonts w:hint="default"/>
      </w:rPr>
    </w:lvl>
    <w:lvl w:ilvl="1" w:tplc="18090019" w:tentative="1">
      <w:start w:val="1"/>
      <w:numFmt w:val="lowerLetter"/>
      <w:lvlText w:val="%2."/>
      <w:lvlJc w:val="left"/>
      <w:pPr>
        <w:ind w:left="1480" w:hanging="360"/>
      </w:pPr>
    </w:lvl>
    <w:lvl w:ilvl="2" w:tplc="1809001B" w:tentative="1">
      <w:start w:val="1"/>
      <w:numFmt w:val="lowerRoman"/>
      <w:lvlText w:val="%3."/>
      <w:lvlJc w:val="right"/>
      <w:pPr>
        <w:ind w:left="2200" w:hanging="180"/>
      </w:pPr>
    </w:lvl>
    <w:lvl w:ilvl="3" w:tplc="1809000F" w:tentative="1">
      <w:start w:val="1"/>
      <w:numFmt w:val="decimal"/>
      <w:lvlText w:val="%4."/>
      <w:lvlJc w:val="left"/>
      <w:pPr>
        <w:ind w:left="2920" w:hanging="360"/>
      </w:pPr>
    </w:lvl>
    <w:lvl w:ilvl="4" w:tplc="18090019" w:tentative="1">
      <w:start w:val="1"/>
      <w:numFmt w:val="lowerLetter"/>
      <w:lvlText w:val="%5."/>
      <w:lvlJc w:val="left"/>
      <w:pPr>
        <w:ind w:left="3640" w:hanging="360"/>
      </w:pPr>
    </w:lvl>
    <w:lvl w:ilvl="5" w:tplc="1809001B" w:tentative="1">
      <w:start w:val="1"/>
      <w:numFmt w:val="lowerRoman"/>
      <w:lvlText w:val="%6."/>
      <w:lvlJc w:val="right"/>
      <w:pPr>
        <w:ind w:left="4360" w:hanging="180"/>
      </w:pPr>
    </w:lvl>
    <w:lvl w:ilvl="6" w:tplc="1809000F" w:tentative="1">
      <w:start w:val="1"/>
      <w:numFmt w:val="decimal"/>
      <w:lvlText w:val="%7."/>
      <w:lvlJc w:val="left"/>
      <w:pPr>
        <w:ind w:left="5080" w:hanging="360"/>
      </w:pPr>
    </w:lvl>
    <w:lvl w:ilvl="7" w:tplc="18090019" w:tentative="1">
      <w:start w:val="1"/>
      <w:numFmt w:val="lowerLetter"/>
      <w:lvlText w:val="%8."/>
      <w:lvlJc w:val="left"/>
      <w:pPr>
        <w:ind w:left="5800" w:hanging="360"/>
      </w:pPr>
    </w:lvl>
    <w:lvl w:ilvl="8" w:tplc="1809001B" w:tentative="1">
      <w:start w:val="1"/>
      <w:numFmt w:val="lowerRoman"/>
      <w:lvlText w:val="%9."/>
      <w:lvlJc w:val="right"/>
      <w:pPr>
        <w:ind w:left="6520" w:hanging="180"/>
      </w:pPr>
    </w:lvl>
  </w:abstractNum>
  <w:abstractNum w:abstractNumId="16" w15:restartNumberingAfterBreak="0">
    <w:nsid w:val="242014C4"/>
    <w:multiLevelType w:val="hybridMultilevel"/>
    <w:tmpl w:val="197022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62342FC"/>
    <w:multiLevelType w:val="multilevel"/>
    <w:tmpl w:val="32EAB1B2"/>
    <w:lvl w:ilvl="0">
      <w:start w:val="1"/>
      <w:numFmt w:val="decimal"/>
      <w:lvlText w:val="%1."/>
      <w:lvlJc w:val="left"/>
      <w:pPr>
        <w:ind w:left="360" w:hanging="360"/>
      </w:pPr>
      <w:rPr>
        <w:rFonts w:cs="Times New Roman" w:hint="default"/>
        <w:color w:val="1F497D"/>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29CD62C7"/>
    <w:multiLevelType w:val="hybridMultilevel"/>
    <w:tmpl w:val="FCF0165C"/>
    <w:lvl w:ilvl="0" w:tplc="6F0C83D8">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0E21504"/>
    <w:multiLevelType w:val="hybridMultilevel"/>
    <w:tmpl w:val="E9E235A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14305FC"/>
    <w:multiLevelType w:val="hybridMultilevel"/>
    <w:tmpl w:val="7CC03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5A77F98"/>
    <w:multiLevelType w:val="hybridMultilevel"/>
    <w:tmpl w:val="04185B3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A4C422E"/>
    <w:multiLevelType w:val="hybridMultilevel"/>
    <w:tmpl w:val="47BC55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E254BA9"/>
    <w:multiLevelType w:val="multilevel"/>
    <w:tmpl w:val="E67269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017791D"/>
    <w:multiLevelType w:val="hybridMultilevel"/>
    <w:tmpl w:val="F9BAF7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0A95C55"/>
    <w:multiLevelType w:val="hybridMultilevel"/>
    <w:tmpl w:val="DDB04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0EA04B1"/>
    <w:multiLevelType w:val="hybridMultilevel"/>
    <w:tmpl w:val="1EFE3DA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86A4F02"/>
    <w:multiLevelType w:val="multilevel"/>
    <w:tmpl w:val="CF76641E"/>
    <w:numStyleLink w:val="List--level1"/>
  </w:abstractNum>
  <w:abstractNum w:abstractNumId="28" w15:restartNumberingAfterBreak="0">
    <w:nsid w:val="4BBF1F1D"/>
    <w:multiLevelType w:val="hybridMultilevel"/>
    <w:tmpl w:val="C7EA16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F467216"/>
    <w:multiLevelType w:val="hybridMultilevel"/>
    <w:tmpl w:val="0A442446"/>
    <w:lvl w:ilvl="0" w:tplc="1809001B">
      <w:start w:val="1"/>
      <w:numFmt w:val="low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50C0511"/>
    <w:multiLevelType w:val="hybridMultilevel"/>
    <w:tmpl w:val="266C6E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7B160D4"/>
    <w:multiLevelType w:val="hybridMultilevel"/>
    <w:tmpl w:val="63AC1C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8370F30"/>
    <w:multiLevelType w:val="hybridMultilevel"/>
    <w:tmpl w:val="D22C57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E20434A"/>
    <w:multiLevelType w:val="hybridMultilevel"/>
    <w:tmpl w:val="931866BA"/>
    <w:lvl w:ilvl="0" w:tplc="97ECA49E">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F905BEA"/>
    <w:multiLevelType w:val="hybridMultilevel"/>
    <w:tmpl w:val="D3CCEDE6"/>
    <w:lvl w:ilvl="0" w:tplc="AA9A5A2C">
      <w:start w:val="1"/>
      <w:numFmt w:val="decimal"/>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5A10E8"/>
    <w:multiLevelType w:val="hybridMultilevel"/>
    <w:tmpl w:val="6C24173C"/>
    <w:lvl w:ilvl="0" w:tplc="C6EE1E7C">
      <w:start w:val="1"/>
      <w:numFmt w:val="decimal"/>
      <w:pStyle w:val="ListLevel3"/>
      <w:lvlText w:val="(%1)"/>
      <w:lvlJc w:val="left"/>
      <w:pPr>
        <w:tabs>
          <w:tab w:val="num" w:pos="1440"/>
        </w:tabs>
        <w:ind w:left="1440" w:hanging="360"/>
      </w:pPr>
      <w:rPr>
        <w:rFonts w:ascii="Arial" w:hAnsi="Arial" w:hint="default"/>
        <w:b w:val="0"/>
        <w:i w:val="0"/>
        <w:color w:val="auto"/>
        <w:sz w:val="20"/>
        <w:szCs w:val="20"/>
      </w:rPr>
    </w:lvl>
    <w:lvl w:ilvl="1" w:tplc="04090019">
      <w:start w:val="1"/>
      <w:numFmt w:val="lowerLetter"/>
      <w:lvlText w:val="%2."/>
      <w:lvlJc w:val="left"/>
      <w:pPr>
        <w:tabs>
          <w:tab w:val="num" w:pos="1800"/>
        </w:tabs>
        <w:ind w:left="1800" w:hanging="360"/>
      </w:pPr>
    </w:lvl>
    <w:lvl w:ilvl="2" w:tplc="38F21A8A">
      <w:start w:val="1"/>
      <w:numFmt w:val="decimal"/>
      <w:pStyle w:val="ListLevel3"/>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4A1404B"/>
    <w:multiLevelType w:val="hybridMultilevel"/>
    <w:tmpl w:val="8B1422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2577C6"/>
    <w:multiLevelType w:val="hybridMultilevel"/>
    <w:tmpl w:val="579C96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CF83297"/>
    <w:multiLevelType w:val="hybridMultilevel"/>
    <w:tmpl w:val="2190D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3A1148"/>
    <w:multiLevelType w:val="multilevel"/>
    <w:tmpl w:val="8866226A"/>
    <w:styleLink w:val="Listlevel2"/>
    <w:lvl w:ilvl="0">
      <w:start w:val="1"/>
      <w:numFmt w:val="lowerLetter"/>
      <w:lvlText w:val="%1."/>
      <w:lvlJc w:val="left"/>
      <w:pPr>
        <w:tabs>
          <w:tab w:val="num" w:pos="1080"/>
        </w:tabs>
        <w:ind w:left="1080" w:hanging="360"/>
      </w:pPr>
      <w:rPr>
        <w:rFonts w:ascii="Arial" w:eastAsia="Times New Roman"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613CDC"/>
    <w:multiLevelType w:val="hybridMultilevel"/>
    <w:tmpl w:val="0F48AB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27"/>
  </w:num>
  <w:num w:numId="4">
    <w:abstractNumId w:val="35"/>
  </w:num>
  <w:num w:numId="5">
    <w:abstractNumId w:val="0"/>
  </w:num>
  <w:num w:numId="6">
    <w:abstractNumId w:val="39"/>
  </w:num>
  <w:num w:numId="7">
    <w:abstractNumId w:val="33"/>
  </w:num>
  <w:num w:numId="8">
    <w:abstractNumId w:val="3"/>
  </w:num>
  <w:num w:numId="9">
    <w:abstractNumId w:val="40"/>
  </w:num>
  <w:num w:numId="10">
    <w:abstractNumId w:val="21"/>
  </w:num>
  <w:num w:numId="11">
    <w:abstractNumId w:val="20"/>
  </w:num>
  <w:num w:numId="12">
    <w:abstractNumId w:val="19"/>
  </w:num>
  <w:num w:numId="13">
    <w:abstractNumId w:val="18"/>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2"/>
  </w:num>
  <w:num w:numId="18">
    <w:abstractNumId w:val="26"/>
  </w:num>
  <w:num w:numId="19">
    <w:abstractNumId w:val="32"/>
  </w:num>
  <w:num w:numId="20">
    <w:abstractNumId w:val="7"/>
  </w:num>
  <w:num w:numId="21">
    <w:abstractNumId w:val="37"/>
  </w:num>
  <w:num w:numId="22">
    <w:abstractNumId w:val="38"/>
  </w:num>
  <w:num w:numId="23">
    <w:abstractNumId w:val="6"/>
  </w:num>
  <w:num w:numId="24">
    <w:abstractNumId w:val="16"/>
  </w:num>
  <w:num w:numId="25">
    <w:abstractNumId w:val="31"/>
  </w:num>
  <w:num w:numId="26">
    <w:abstractNumId w:val="29"/>
  </w:num>
  <w:num w:numId="27">
    <w:abstractNumId w:val="4"/>
  </w:num>
  <w:num w:numId="28">
    <w:abstractNumId w:val="14"/>
  </w:num>
  <w:num w:numId="29">
    <w:abstractNumId w:val="25"/>
  </w:num>
  <w:num w:numId="30">
    <w:abstractNumId w:val="23"/>
  </w:num>
  <w:num w:numId="31">
    <w:abstractNumId w:val="24"/>
  </w:num>
  <w:num w:numId="32">
    <w:abstractNumId w:val="17"/>
  </w:num>
  <w:num w:numId="33">
    <w:abstractNumId w:val="11"/>
  </w:num>
  <w:num w:numId="34">
    <w:abstractNumId w:val="36"/>
  </w:num>
  <w:num w:numId="35">
    <w:abstractNumId w:val="13"/>
  </w:num>
  <w:num w:numId="36">
    <w:abstractNumId w:val="12"/>
  </w:num>
  <w:num w:numId="37">
    <w:abstractNumId w:val="30"/>
  </w:num>
  <w:num w:numId="38">
    <w:abstractNumId w:val="28"/>
  </w:num>
  <w:num w:numId="39">
    <w:abstractNumId w:val="34"/>
  </w:num>
  <w:num w:numId="40">
    <w:abstractNumId w:val="9"/>
  </w:num>
  <w:num w:numId="41">
    <w:abstractNumId w:val="1"/>
  </w:num>
  <w:num w:numId="4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o:colormru v:ext="edit" colors="#1f497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7B4"/>
    <w:rsid w:val="000142CB"/>
    <w:rsid w:val="000373B4"/>
    <w:rsid w:val="00041E5D"/>
    <w:rsid w:val="00050EAB"/>
    <w:rsid w:val="0005437A"/>
    <w:rsid w:val="0006325F"/>
    <w:rsid w:val="000641C8"/>
    <w:rsid w:val="00066164"/>
    <w:rsid w:val="00066FAB"/>
    <w:rsid w:val="00074636"/>
    <w:rsid w:val="00080337"/>
    <w:rsid w:val="000841C2"/>
    <w:rsid w:val="00086F4D"/>
    <w:rsid w:val="00097848"/>
    <w:rsid w:val="000A0CD4"/>
    <w:rsid w:val="000A0EAF"/>
    <w:rsid w:val="000A11D2"/>
    <w:rsid w:val="000A1443"/>
    <w:rsid w:val="000A3253"/>
    <w:rsid w:val="000A5A3F"/>
    <w:rsid w:val="000C0ADE"/>
    <w:rsid w:val="000C1707"/>
    <w:rsid w:val="000C405E"/>
    <w:rsid w:val="000C44CB"/>
    <w:rsid w:val="000C4EF5"/>
    <w:rsid w:val="000C74A6"/>
    <w:rsid w:val="000D14C7"/>
    <w:rsid w:val="000D56F7"/>
    <w:rsid w:val="000D75F9"/>
    <w:rsid w:val="000D7864"/>
    <w:rsid w:val="000E0A79"/>
    <w:rsid w:val="000E3157"/>
    <w:rsid w:val="000E6634"/>
    <w:rsid w:val="000E7F87"/>
    <w:rsid w:val="000F5C2A"/>
    <w:rsid w:val="00106ACA"/>
    <w:rsid w:val="00110DA6"/>
    <w:rsid w:val="0011312D"/>
    <w:rsid w:val="001200B5"/>
    <w:rsid w:val="00121628"/>
    <w:rsid w:val="00124D6E"/>
    <w:rsid w:val="001342A2"/>
    <w:rsid w:val="0013582A"/>
    <w:rsid w:val="00136016"/>
    <w:rsid w:val="0014046C"/>
    <w:rsid w:val="00142B63"/>
    <w:rsid w:val="0014669E"/>
    <w:rsid w:val="00147970"/>
    <w:rsid w:val="0015533B"/>
    <w:rsid w:val="00160336"/>
    <w:rsid w:val="00166BBC"/>
    <w:rsid w:val="00167B62"/>
    <w:rsid w:val="00172499"/>
    <w:rsid w:val="00172AFC"/>
    <w:rsid w:val="00174500"/>
    <w:rsid w:val="00175F21"/>
    <w:rsid w:val="00183045"/>
    <w:rsid w:val="00184A79"/>
    <w:rsid w:val="001862CC"/>
    <w:rsid w:val="00192E37"/>
    <w:rsid w:val="00193196"/>
    <w:rsid w:val="001A256F"/>
    <w:rsid w:val="001A28A0"/>
    <w:rsid w:val="001A3553"/>
    <w:rsid w:val="001A772C"/>
    <w:rsid w:val="001A7B58"/>
    <w:rsid w:val="001B3C6F"/>
    <w:rsid w:val="001B50D0"/>
    <w:rsid w:val="001B542E"/>
    <w:rsid w:val="001B55BC"/>
    <w:rsid w:val="001B69AD"/>
    <w:rsid w:val="001C2EDA"/>
    <w:rsid w:val="001C5FDC"/>
    <w:rsid w:val="001C6A47"/>
    <w:rsid w:val="001D1DDF"/>
    <w:rsid w:val="001E64D7"/>
    <w:rsid w:val="001E6982"/>
    <w:rsid w:val="001F39DF"/>
    <w:rsid w:val="001F5D8C"/>
    <w:rsid w:val="001F7566"/>
    <w:rsid w:val="00207887"/>
    <w:rsid w:val="00211D00"/>
    <w:rsid w:val="0021214A"/>
    <w:rsid w:val="00213A0C"/>
    <w:rsid w:val="00213D2C"/>
    <w:rsid w:val="002147D0"/>
    <w:rsid w:val="00215064"/>
    <w:rsid w:val="00216F32"/>
    <w:rsid w:val="00233E69"/>
    <w:rsid w:val="00236B0B"/>
    <w:rsid w:val="00236CF5"/>
    <w:rsid w:val="00243B5C"/>
    <w:rsid w:val="00244822"/>
    <w:rsid w:val="00244B86"/>
    <w:rsid w:val="00245DB7"/>
    <w:rsid w:val="00251407"/>
    <w:rsid w:val="00253861"/>
    <w:rsid w:val="00254B9D"/>
    <w:rsid w:val="00254DDC"/>
    <w:rsid w:val="00260404"/>
    <w:rsid w:val="0027276D"/>
    <w:rsid w:val="00273A0B"/>
    <w:rsid w:val="00273F0D"/>
    <w:rsid w:val="002756A3"/>
    <w:rsid w:val="0027605E"/>
    <w:rsid w:val="00284690"/>
    <w:rsid w:val="00284829"/>
    <w:rsid w:val="00286442"/>
    <w:rsid w:val="0028793D"/>
    <w:rsid w:val="00293E23"/>
    <w:rsid w:val="00294C24"/>
    <w:rsid w:val="002A0122"/>
    <w:rsid w:val="002A0FD3"/>
    <w:rsid w:val="002A530F"/>
    <w:rsid w:val="002A562B"/>
    <w:rsid w:val="002D175F"/>
    <w:rsid w:val="002D483A"/>
    <w:rsid w:val="002D641E"/>
    <w:rsid w:val="002D6D56"/>
    <w:rsid w:val="002D74D9"/>
    <w:rsid w:val="002E4D68"/>
    <w:rsid w:val="002E5BCD"/>
    <w:rsid w:val="002E663C"/>
    <w:rsid w:val="002E68BA"/>
    <w:rsid w:val="002E7903"/>
    <w:rsid w:val="002F110C"/>
    <w:rsid w:val="002F164E"/>
    <w:rsid w:val="002F7B54"/>
    <w:rsid w:val="0030280A"/>
    <w:rsid w:val="0030558E"/>
    <w:rsid w:val="00307DF3"/>
    <w:rsid w:val="00307E90"/>
    <w:rsid w:val="00310EA7"/>
    <w:rsid w:val="003118BC"/>
    <w:rsid w:val="00324D45"/>
    <w:rsid w:val="00324DF2"/>
    <w:rsid w:val="00325C76"/>
    <w:rsid w:val="003264E4"/>
    <w:rsid w:val="00332C4B"/>
    <w:rsid w:val="003372D3"/>
    <w:rsid w:val="00341CB8"/>
    <w:rsid w:val="00343227"/>
    <w:rsid w:val="00346255"/>
    <w:rsid w:val="00351EF0"/>
    <w:rsid w:val="003577C0"/>
    <w:rsid w:val="00357DFD"/>
    <w:rsid w:val="0036140C"/>
    <w:rsid w:val="003617CA"/>
    <w:rsid w:val="00364016"/>
    <w:rsid w:val="0036719E"/>
    <w:rsid w:val="00370E87"/>
    <w:rsid w:val="00372217"/>
    <w:rsid w:val="00381D10"/>
    <w:rsid w:val="00385347"/>
    <w:rsid w:val="0038584D"/>
    <w:rsid w:val="00385ACC"/>
    <w:rsid w:val="00390CF9"/>
    <w:rsid w:val="003934DE"/>
    <w:rsid w:val="003973B1"/>
    <w:rsid w:val="00397ACA"/>
    <w:rsid w:val="003A2B3B"/>
    <w:rsid w:val="003A3628"/>
    <w:rsid w:val="003A52EB"/>
    <w:rsid w:val="003B1945"/>
    <w:rsid w:val="003B1C8B"/>
    <w:rsid w:val="003B241D"/>
    <w:rsid w:val="003B3D62"/>
    <w:rsid w:val="003B4F7C"/>
    <w:rsid w:val="003B7532"/>
    <w:rsid w:val="003C0F95"/>
    <w:rsid w:val="003C5A30"/>
    <w:rsid w:val="003C5E18"/>
    <w:rsid w:val="003D0635"/>
    <w:rsid w:val="003E3F12"/>
    <w:rsid w:val="003F02BC"/>
    <w:rsid w:val="00400C0D"/>
    <w:rsid w:val="0040198F"/>
    <w:rsid w:val="004027AC"/>
    <w:rsid w:val="00406D6F"/>
    <w:rsid w:val="0041148C"/>
    <w:rsid w:val="004125D7"/>
    <w:rsid w:val="00412AF5"/>
    <w:rsid w:val="00415C9E"/>
    <w:rsid w:val="00415F6F"/>
    <w:rsid w:val="00417748"/>
    <w:rsid w:val="00422129"/>
    <w:rsid w:val="00422DBD"/>
    <w:rsid w:val="0042324F"/>
    <w:rsid w:val="004241D6"/>
    <w:rsid w:val="00424A13"/>
    <w:rsid w:val="004270D4"/>
    <w:rsid w:val="004302F0"/>
    <w:rsid w:val="004412B1"/>
    <w:rsid w:val="00443A42"/>
    <w:rsid w:val="004456E7"/>
    <w:rsid w:val="00446E51"/>
    <w:rsid w:val="00451855"/>
    <w:rsid w:val="00451E14"/>
    <w:rsid w:val="00452943"/>
    <w:rsid w:val="004537B7"/>
    <w:rsid w:val="00456067"/>
    <w:rsid w:val="004648F2"/>
    <w:rsid w:val="00474A5F"/>
    <w:rsid w:val="00480DDC"/>
    <w:rsid w:val="00491A27"/>
    <w:rsid w:val="004932E8"/>
    <w:rsid w:val="0049751E"/>
    <w:rsid w:val="00497766"/>
    <w:rsid w:val="004A37B4"/>
    <w:rsid w:val="004B0D59"/>
    <w:rsid w:val="004B770C"/>
    <w:rsid w:val="004C4E43"/>
    <w:rsid w:val="004C74F2"/>
    <w:rsid w:val="004D0661"/>
    <w:rsid w:val="004D0F17"/>
    <w:rsid w:val="004D3C04"/>
    <w:rsid w:val="004D3C2D"/>
    <w:rsid w:val="004D6897"/>
    <w:rsid w:val="004D72B4"/>
    <w:rsid w:val="004E07A2"/>
    <w:rsid w:val="004E1E0A"/>
    <w:rsid w:val="004E5490"/>
    <w:rsid w:val="004E715F"/>
    <w:rsid w:val="004F1FAE"/>
    <w:rsid w:val="005006E0"/>
    <w:rsid w:val="00503712"/>
    <w:rsid w:val="005046BD"/>
    <w:rsid w:val="00505659"/>
    <w:rsid w:val="005115BA"/>
    <w:rsid w:val="00511A16"/>
    <w:rsid w:val="00516F97"/>
    <w:rsid w:val="00517AE3"/>
    <w:rsid w:val="00517D6E"/>
    <w:rsid w:val="00521C94"/>
    <w:rsid w:val="00522F89"/>
    <w:rsid w:val="00531295"/>
    <w:rsid w:val="005335DF"/>
    <w:rsid w:val="00535D5B"/>
    <w:rsid w:val="00537771"/>
    <w:rsid w:val="00537D48"/>
    <w:rsid w:val="005453DE"/>
    <w:rsid w:val="005472A5"/>
    <w:rsid w:val="005510F5"/>
    <w:rsid w:val="00553900"/>
    <w:rsid w:val="00554762"/>
    <w:rsid w:val="00556FF7"/>
    <w:rsid w:val="005633B8"/>
    <w:rsid w:val="00565E06"/>
    <w:rsid w:val="00566AF1"/>
    <w:rsid w:val="00570308"/>
    <w:rsid w:val="005703D9"/>
    <w:rsid w:val="00572CA5"/>
    <w:rsid w:val="00585858"/>
    <w:rsid w:val="00590F08"/>
    <w:rsid w:val="005935F6"/>
    <w:rsid w:val="00597364"/>
    <w:rsid w:val="005A0619"/>
    <w:rsid w:val="005A0C79"/>
    <w:rsid w:val="005B16E9"/>
    <w:rsid w:val="005B30D2"/>
    <w:rsid w:val="005C00AC"/>
    <w:rsid w:val="005C45BF"/>
    <w:rsid w:val="005C68CD"/>
    <w:rsid w:val="005C6B66"/>
    <w:rsid w:val="005C6DED"/>
    <w:rsid w:val="005D0356"/>
    <w:rsid w:val="005D0EBD"/>
    <w:rsid w:val="005D0EF1"/>
    <w:rsid w:val="005D6FEB"/>
    <w:rsid w:val="005D72F8"/>
    <w:rsid w:val="005D7D7C"/>
    <w:rsid w:val="005E097B"/>
    <w:rsid w:val="005E2338"/>
    <w:rsid w:val="005E3068"/>
    <w:rsid w:val="005F1C00"/>
    <w:rsid w:val="005F4927"/>
    <w:rsid w:val="005F7517"/>
    <w:rsid w:val="0060087F"/>
    <w:rsid w:val="006020B5"/>
    <w:rsid w:val="006057A2"/>
    <w:rsid w:val="006109CC"/>
    <w:rsid w:val="006110D8"/>
    <w:rsid w:val="00612517"/>
    <w:rsid w:val="00613246"/>
    <w:rsid w:val="006169C0"/>
    <w:rsid w:val="0061787F"/>
    <w:rsid w:val="00622A8F"/>
    <w:rsid w:val="00623AC2"/>
    <w:rsid w:val="00623BD4"/>
    <w:rsid w:val="00625DB4"/>
    <w:rsid w:val="00630511"/>
    <w:rsid w:val="0063436A"/>
    <w:rsid w:val="00635463"/>
    <w:rsid w:val="006367A5"/>
    <w:rsid w:val="00644BAF"/>
    <w:rsid w:val="006451B8"/>
    <w:rsid w:val="006453DB"/>
    <w:rsid w:val="006454CB"/>
    <w:rsid w:val="0064613B"/>
    <w:rsid w:val="00647D04"/>
    <w:rsid w:val="00651732"/>
    <w:rsid w:val="00655F60"/>
    <w:rsid w:val="00660A0A"/>
    <w:rsid w:val="00662B83"/>
    <w:rsid w:val="0066543E"/>
    <w:rsid w:val="00665FF2"/>
    <w:rsid w:val="0067012B"/>
    <w:rsid w:val="00676CE1"/>
    <w:rsid w:val="0068034A"/>
    <w:rsid w:val="006804A5"/>
    <w:rsid w:val="00684E28"/>
    <w:rsid w:val="00690495"/>
    <w:rsid w:val="00693EAA"/>
    <w:rsid w:val="00696792"/>
    <w:rsid w:val="006A473E"/>
    <w:rsid w:val="006A6A66"/>
    <w:rsid w:val="006A6E33"/>
    <w:rsid w:val="006B1854"/>
    <w:rsid w:val="006B2024"/>
    <w:rsid w:val="006B5109"/>
    <w:rsid w:val="006B666A"/>
    <w:rsid w:val="006C6AB0"/>
    <w:rsid w:val="006D3068"/>
    <w:rsid w:val="006D5429"/>
    <w:rsid w:val="006D6791"/>
    <w:rsid w:val="006D7C4E"/>
    <w:rsid w:val="006E3F2B"/>
    <w:rsid w:val="006E5B2E"/>
    <w:rsid w:val="006F2704"/>
    <w:rsid w:val="006F2BEB"/>
    <w:rsid w:val="006F31A4"/>
    <w:rsid w:val="006F36C0"/>
    <w:rsid w:val="006F5396"/>
    <w:rsid w:val="006F7EFD"/>
    <w:rsid w:val="007006CF"/>
    <w:rsid w:val="007041A1"/>
    <w:rsid w:val="00712475"/>
    <w:rsid w:val="00717EB2"/>
    <w:rsid w:val="00720080"/>
    <w:rsid w:val="00720180"/>
    <w:rsid w:val="007223CE"/>
    <w:rsid w:val="00730577"/>
    <w:rsid w:val="007329EF"/>
    <w:rsid w:val="007341EE"/>
    <w:rsid w:val="00734588"/>
    <w:rsid w:val="007371ED"/>
    <w:rsid w:val="007430A6"/>
    <w:rsid w:val="007473B5"/>
    <w:rsid w:val="007473E7"/>
    <w:rsid w:val="00750755"/>
    <w:rsid w:val="00755B7A"/>
    <w:rsid w:val="00762A5B"/>
    <w:rsid w:val="00770EF8"/>
    <w:rsid w:val="00773B8F"/>
    <w:rsid w:val="00774DE6"/>
    <w:rsid w:val="007752F0"/>
    <w:rsid w:val="0077641D"/>
    <w:rsid w:val="00776964"/>
    <w:rsid w:val="00783688"/>
    <w:rsid w:val="00784C7E"/>
    <w:rsid w:val="00791F4D"/>
    <w:rsid w:val="00792B67"/>
    <w:rsid w:val="007962BE"/>
    <w:rsid w:val="00796669"/>
    <w:rsid w:val="007978CE"/>
    <w:rsid w:val="007A1EAE"/>
    <w:rsid w:val="007A2683"/>
    <w:rsid w:val="007A619F"/>
    <w:rsid w:val="007A6DDD"/>
    <w:rsid w:val="007B3141"/>
    <w:rsid w:val="007B5C97"/>
    <w:rsid w:val="007C43D7"/>
    <w:rsid w:val="007C4411"/>
    <w:rsid w:val="007C5364"/>
    <w:rsid w:val="007C59FD"/>
    <w:rsid w:val="007C7836"/>
    <w:rsid w:val="007E181C"/>
    <w:rsid w:val="007E2C5B"/>
    <w:rsid w:val="007E2FF0"/>
    <w:rsid w:val="007E315F"/>
    <w:rsid w:val="007E69F4"/>
    <w:rsid w:val="007E710E"/>
    <w:rsid w:val="007E716A"/>
    <w:rsid w:val="007E71FA"/>
    <w:rsid w:val="007E76D5"/>
    <w:rsid w:val="007F09F5"/>
    <w:rsid w:val="007F1941"/>
    <w:rsid w:val="007F3531"/>
    <w:rsid w:val="007F4E23"/>
    <w:rsid w:val="007F6171"/>
    <w:rsid w:val="00802A0E"/>
    <w:rsid w:val="00804642"/>
    <w:rsid w:val="00804B55"/>
    <w:rsid w:val="00805891"/>
    <w:rsid w:val="00806226"/>
    <w:rsid w:val="00806945"/>
    <w:rsid w:val="00815AE8"/>
    <w:rsid w:val="00816320"/>
    <w:rsid w:val="0082059E"/>
    <w:rsid w:val="00821410"/>
    <w:rsid w:val="008224D9"/>
    <w:rsid w:val="00822F34"/>
    <w:rsid w:val="008235F0"/>
    <w:rsid w:val="00827389"/>
    <w:rsid w:val="00830963"/>
    <w:rsid w:val="00831F9C"/>
    <w:rsid w:val="00836014"/>
    <w:rsid w:val="00840A3F"/>
    <w:rsid w:val="00840E81"/>
    <w:rsid w:val="008512C4"/>
    <w:rsid w:val="00853EA0"/>
    <w:rsid w:val="00861BBA"/>
    <w:rsid w:val="0086201B"/>
    <w:rsid w:val="00863AF8"/>
    <w:rsid w:val="00863E4F"/>
    <w:rsid w:val="00865DD8"/>
    <w:rsid w:val="00866231"/>
    <w:rsid w:val="0086749A"/>
    <w:rsid w:val="00867AF9"/>
    <w:rsid w:val="00871435"/>
    <w:rsid w:val="00871E71"/>
    <w:rsid w:val="0087435C"/>
    <w:rsid w:val="008744B4"/>
    <w:rsid w:val="008839A7"/>
    <w:rsid w:val="00895C72"/>
    <w:rsid w:val="00895F17"/>
    <w:rsid w:val="008963BA"/>
    <w:rsid w:val="008A025B"/>
    <w:rsid w:val="008A0281"/>
    <w:rsid w:val="008A163D"/>
    <w:rsid w:val="008A182A"/>
    <w:rsid w:val="008A3906"/>
    <w:rsid w:val="008A5310"/>
    <w:rsid w:val="008A74BC"/>
    <w:rsid w:val="008B3214"/>
    <w:rsid w:val="008C0548"/>
    <w:rsid w:val="008C0E92"/>
    <w:rsid w:val="008C5C5F"/>
    <w:rsid w:val="008C6232"/>
    <w:rsid w:val="008E30DC"/>
    <w:rsid w:val="008E3B2B"/>
    <w:rsid w:val="008E7483"/>
    <w:rsid w:val="008E7BB6"/>
    <w:rsid w:val="008F25EC"/>
    <w:rsid w:val="008F5AC1"/>
    <w:rsid w:val="008F6E57"/>
    <w:rsid w:val="008F78E3"/>
    <w:rsid w:val="00902837"/>
    <w:rsid w:val="00903FA4"/>
    <w:rsid w:val="00907A32"/>
    <w:rsid w:val="00914DAC"/>
    <w:rsid w:val="00921F3D"/>
    <w:rsid w:val="0092269E"/>
    <w:rsid w:val="00923910"/>
    <w:rsid w:val="00927156"/>
    <w:rsid w:val="0092718F"/>
    <w:rsid w:val="009307CC"/>
    <w:rsid w:val="00931215"/>
    <w:rsid w:val="009315A3"/>
    <w:rsid w:val="00931FA9"/>
    <w:rsid w:val="0093398C"/>
    <w:rsid w:val="009347C8"/>
    <w:rsid w:val="009406CF"/>
    <w:rsid w:val="0094080E"/>
    <w:rsid w:val="00941280"/>
    <w:rsid w:val="00946DD0"/>
    <w:rsid w:val="00952EB6"/>
    <w:rsid w:val="009535CC"/>
    <w:rsid w:val="00953AEA"/>
    <w:rsid w:val="00955F8A"/>
    <w:rsid w:val="0096726D"/>
    <w:rsid w:val="00974EF2"/>
    <w:rsid w:val="0098141B"/>
    <w:rsid w:val="009829AD"/>
    <w:rsid w:val="00986EF4"/>
    <w:rsid w:val="00990311"/>
    <w:rsid w:val="00991C98"/>
    <w:rsid w:val="00996076"/>
    <w:rsid w:val="0099644A"/>
    <w:rsid w:val="009A0B14"/>
    <w:rsid w:val="009A2506"/>
    <w:rsid w:val="009A2F38"/>
    <w:rsid w:val="009A68C1"/>
    <w:rsid w:val="009A74FD"/>
    <w:rsid w:val="009B0B1B"/>
    <w:rsid w:val="009B180E"/>
    <w:rsid w:val="009B2953"/>
    <w:rsid w:val="009B2EFD"/>
    <w:rsid w:val="009B41A9"/>
    <w:rsid w:val="009B483A"/>
    <w:rsid w:val="009B4ABC"/>
    <w:rsid w:val="009C0ADD"/>
    <w:rsid w:val="009C19E3"/>
    <w:rsid w:val="009C2128"/>
    <w:rsid w:val="009C2960"/>
    <w:rsid w:val="009C5437"/>
    <w:rsid w:val="009D271D"/>
    <w:rsid w:val="009D3394"/>
    <w:rsid w:val="009D5404"/>
    <w:rsid w:val="009D54FE"/>
    <w:rsid w:val="009D5D9B"/>
    <w:rsid w:val="009E00FB"/>
    <w:rsid w:val="009E09C7"/>
    <w:rsid w:val="009E1CA3"/>
    <w:rsid w:val="009E1DAB"/>
    <w:rsid w:val="009E598F"/>
    <w:rsid w:val="009F3F62"/>
    <w:rsid w:val="009F74EF"/>
    <w:rsid w:val="00A02B23"/>
    <w:rsid w:val="00A03266"/>
    <w:rsid w:val="00A04BFE"/>
    <w:rsid w:val="00A17632"/>
    <w:rsid w:val="00A22605"/>
    <w:rsid w:val="00A22DEA"/>
    <w:rsid w:val="00A23D2C"/>
    <w:rsid w:val="00A279A8"/>
    <w:rsid w:val="00A32371"/>
    <w:rsid w:val="00A341F7"/>
    <w:rsid w:val="00A34250"/>
    <w:rsid w:val="00A4184F"/>
    <w:rsid w:val="00A45147"/>
    <w:rsid w:val="00A461BE"/>
    <w:rsid w:val="00A46E63"/>
    <w:rsid w:val="00A61A71"/>
    <w:rsid w:val="00A65A45"/>
    <w:rsid w:val="00A661AD"/>
    <w:rsid w:val="00A67F25"/>
    <w:rsid w:val="00A703AD"/>
    <w:rsid w:val="00A91919"/>
    <w:rsid w:val="00A92A18"/>
    <w:rsid w:val="00A939FC"/>
    <w:rsid w:val="00A94F86"/>
    <w:rsid w:val="00AA11C2"/>
    <w:rsid w:val="00AA24C0"/>
    <w:rsid w:val="00AA47E6"/>
    <w:rsid w:val="00AB4DE6"/>
    <w:rsid w:val="00AB56AE"/>
    <w:rsid w:val="00AB5F45"/>
    <w:rsid w:val="00AC0E4D"/>
    <w:rsid w:val="00AC2430"/>
    <w:rsid w:val="00AC663E"/>
    <w:rsid w:val="00AC6CB6"/>
    <w:rsid w:val="00AD7478"/>
    <w:rsid w:val="00AE0194"/>
    <w:rsid w:val="00AE0C17"/>
    <w:rsid w:val="00AF3E37"/>
    <w:rsid w:val="00AF4C45"/>
    <w:rsid w:val="00B009AD"/>
    <w:rsid w:val="00B0701D"/>
    <w:rsid w:val="00B154D2"/>
    <w:rsid w:val="00B25085"/>
    <w:rsid w:val="00B258AB"/>
    <w:rsid w:val="00B30CCB"/>
    <w:rsid w:val="00B31C73"/>
    <w:rsid w:val="00B32E3A"/>
    <w:rsid w:val="00B33D62"/>
    <w:rsid w:val="00B3405E"/>
    <w:rsid w:val="00B417C3"/>
    <w:rsid w:val="00B42453"/>
    <w:rsid w:val="00B43E78"/>
    <w:rsid w:val="00B50E52"/>
    <w:rsid w:val="00B53A45"/>
    <w:rsid w:val="00B65095"/>
    <w:rsid w:val="00B660C2"/>
    <w:rsid w:val="00B669C8"/>
    <w:rsid w:val="00B70C11"/>
    <w:rsid w:val="00B737F6"/>
    <w:rsid w:val="00B769A0"/>
    <w:rsid w:val="00B809CB"/>
    <w:rsid w:val="00B84D1A"/>
    <w:rsid w:val="00B95C3A"/>
    <w:rsid w:val="00BB5E05"/>
    <w:rsid w:val="00BC1477"/>
    <w:rsid w:val="00BC49A1"/>
    <w:rsid w:val="00BC613D"/>
    <w:rsid w:val="00BC6784"/>
    <w:rsid w:val="00BD4734"/>
    <w:rsid w:val="00BD7B83"/>
    <w:rsid w:val="00BE79C2"/>
    <w:rsid w:val="00BF0042"/>
    <w:rsid w:val="00BF17C5"/>
    <w:rsid w:val="00BF1DC6"/>
    <w:rsid w:val="00BF2964"/>
    <w:rsid w:val="00BF3B40"/>
    <w:rsid w:val="00BF44E6"/>
    <w:rsid w:val="00BF646C"/>
    <w:rsid w:val="00BF690B"/>
    <w:rsid w:val="00C00FA3"/>
    <w:rsid w:val="00C02871"/>
    <w:rsid w:val="00C04064"/>
    <w:rsid w:val="00C0430D"/>
    <w:rsid w:val="00C04597"/>
    <w:rsid w:val="00C1720F"/>
    <w:rsid w:val="00C2113A"/>
    <w:rsid w:val="00C21642"/>
    <w:rsid w:val="00C22459"/>
    <w:rsid w:val="00C26E53"/>
    <w:rsid w:val="00C307C0"/>
    <w:rsid w:val="00C31951"/>
    <w:rsid w:val="00C32AFC"/>
    <w:rsid w:val="00C343AE"/>
    <w:rsid w:val="00C356B8"/>
    <w:rsid w:val="00C36677"/>
    <w:rsid w:val="00C4051F"/>
    <w:rsid w:val="00C40EEB"/>
    <w:rsid w:val="00C4496A"/>
    <w:rsid w:val="00C45A3D"/>
    <w:rsid w:val="00C564AA"/>
    <w:rsid w:val="00C613B2"/>
    <w:rsid w:val="00C63CBD"/>
    <w:rsid w:val="00C6706A"/>
    <w:rsid w:val="00C672D3"/>
    <w:rsid w:val="00C679E9"/>
    <w:rsid w:val="00C7004F"/>
    <w:rsid w:val="00C728DF"/>
    <w:rsid w:val="00C87759"/>
    <w:rsid w:val="00C92958"/>
    <w:rsid w:val="00C97D15"/>
    <w:rsid w:val="00CA297E"/>
    <w:rsid w:val="00CA3F53"/>
    <w:rsid w:val="00CA57A3"/>
    <w:rsid w:val="00CB2049"/>
    <w:rsid w:val="00CB3B29"/>
    <w:rsid w:val="00CB4F7A"/>
    <w:rsid w:val="00CC407A"/>
    <w:rsid w:val="00CC578B"/>
    <w:rsid w:val="00CD08C3"/>
    <w:rsid w:val="00CD0CBD"/>
    <w:rsid w:val="00CD2677"/>
    <w:rsid w:val="00CD2CE0"/>
    <w:rsid w:val="00CD42E6"/>
    <w:rsid w:val="00CD4EB1"/>
    <w:rsid w:val="00CD6F43"/>
    <w:rsid w:val="00CF24F5"/>
    <w:rsid w:val="00CF3B68"/>
    <w:rsid w:val="00CF6206"/>
    <w:rsid w:val="00CF7DF2"/>
    <w:rsid w:val="00D0160C"/>
    <w:rsid w:val="00D03346"/>
    <w:rsid w:val="00D11106"/>
    <w:rsid w:val="00D21B5F"/>
    <w:rsid w:val="00D22A5B"/>
    <w:rsid w:val="00D23B72"/>
    <w:rsid w:val="00D25E95"/>
    <w:rsid w:val="00D26D5F"/>
    <w:rsid w:val="00D30CE5"/>
    <w:rsid w:val="00D3430A"/>
    <w:rsid w:val="00D35F89"/>
    <w:rsid w:val="00D455FA"/>
    <w:rsid w:val="00D50836"/>
    <w:rsid w:val="00D51ACC"/>
    <w:rsid w:val="00D51F9D"/>
    <w:rsid w:val="00D52C29"/>
    <w:rsid w:val="00D5462D"/>
    <w:rsid w:val="00D617BB"/>
    <w:rsid w:val="00D62B02"/>
    <w:rsid w:val="00D62C5D"/>
    <w:rsid w:val="00D64A3B"/>
    <w:rsid w:val="00D65098"/>
    <w:rsid w:val="00D67B25"/>
    <w:rsid w:val="00D71E39"/>
    <w:rsid w:val="00D764AF"/>
    <w:rsid w:val="00D80E38"/>
    <w:rsid w:val="00D812BC"/>
    <w:rsid w:val="00D8518A"/>
    <w:rsid w:val="00D86E28"/>
    <w:rsid w:val="00D92AA3"/>
    <w:rsid w:val="00D93B3E"/>
    <w:rsid w:val="00D97945"/>
    <w:rsid w:val="00DA07B4"/>
    <w:rsid w:val="00DA6A52"/>
    <w:rsid w:val="00DA7718"/>
    <w:rsid w:val="00DB0569"/>
    <w:rsid w:val="00DC3B0C"/>
    <w:rsid w:val="00DC3F9A"/>
    <w:rsid w:val="00DD103F"/>
    <w:rsid w:val="00DD2250"/>
    <w:rsid w:val="00DD306F"/>
    <w:rsid w:val="00DE0E5B"/>
    <w:rsid w:val="00DE2271"/>
    <w:rsid w:val="00DE2539"/>
    <w:rsid w:val="00DE2599"/>
    <w:rsid w:val="00DE2C30"/>
    <w:rsid w:val="00DE3FAC"/>
    <w:rsid w:val="00DE50DB"/>
    <w:rsid w:val="00DE7F06"/>
    <w:rsid w:val="00DF0480"/>
    <w:rsid w:val="00DF2AFD"/>
    <w:rsid w:val="00DF40C2"/>
    <w:rsid w:val="00E025D5"/>
    <w:rsid w:val="00E06A80"/>
    <w:rsid w:val="00E1167A"/>
    <w:rsid w:val="00E14367"/>
    <w:rsid w:val="00E146FF"/>
    <w:rsid w:val="00E167B7"/>
    <w:rsid w:val="00E16DF0"/>
    <w:rsid w:val="00E26639"/>
    <w:rsid w:val="00E30385"/>
    <w:rsid w:val="00E33C9D"/>
    <w:rsid w:val="00E41B71"/>
    <w:rsid w:val="00E4370D"/>
    <w:rsid w:val="00E44E23"/>
    <w:rsid w:val="00E47035"/>
    <w:rsid w:val="00E51954"/>
    <w:rsid w:val="00E56AE6"/>
    <w:rsid w:val="00E653C6"/>
    <w:rsid w:val="00E66D30"/>
    <w:rsid w:val="00E66E3C"/>
    <w:rsid w:val="00E67249"/>
    <w:rsid w:val="00E7586E"/>
    <w:rsid w:val="00E77C48"/>
    <w:rsid w:val="00E77DD9"/>
    <w:rsid w:val="00E80394"/>
    <w:rsid w:val="00E803C5"/>
    <w:rsid w:val="00E85EB3"/>
    <w:rsid w:val="00E8707C"/>
    <w:rsid w:val="00E905EE"/>
    <w:rsid w:val="00E915B3"/>
    <w:rsid w:val="00E95ED6"/>
    <w:rsid w:val="00EA27CA"/>
    <w:rsid w:val="00EA4D9A"/>
    <w:rsid w:val="00EA5484"/>
    <w:rsid w:val="00EA5495"/>
    <w:rsid w:val="00EB53F8"/>
    <w:rsid w:val="00EC173B"/>
    <w:rsid w:val="00EC3861"/>
    <w:rsid w:val="00EC6DB4"/>
    <w:rsid w:val="00EC7DFF"/>
    <w:rsid w:val="00ED08B5"/>
    <w:rsid w:val="00ED2B58"/>
    <w:rsid w:val="00ED4AEB"/>
    <w:rsid w:val="00EE3CCD"/>
    <w:rsid w:val="00EE4D25"/>
    <w:rsid w:val="00EE5AE1"/>
    <w:rsid w:val="00EF4124"/>
    <w:rsid w:val="00F00C20"/>
    <w:rsid w:val="00F014AD"/>
    <w:rsid w:val="00F03801"/>
    <w:rsid w:val="00F05A4B"/>
    <w:rsid w:val="00F05A9C"/>
    <w:rsid w:val="00F06408"/>
    <w:rsid w:val="00F116CE"/>
    <w:rsid w:val="00F12734"/>
    <w:rsid w:val="00F211B5"/>
    <w:rsid w:val="00F236B3"/>
    <w:rsid w:val="00F24F8D"/>
    <w:rsid w:val="00F25FF7"/>
    <w:rsid w:val="00F30B18"/>
    <w:rsid w:val="00F31BB2"/>
    <w:rsid w:val="00F31EE8"/>
    <w:rsid w:val="00F33079"/>
    <w:rsid w:val="00F37AFD"/>
    <w:rsid w:val="00F41256"/>
    <w:rsid w:val="00F41C83"/>
    <w:rsid w:val="00F429F7"/>
    <w:rsid w:val="00F50AA8"/>
    <w:rsid w:val="00F51FF3"/>
    <w:rsid w:val="00F53E7C"/>
    <w:rsid w:val="00F5588E"/>
    <w:rsid w:val="00F601A0"/>
    <w:rsid w:val="00F65641"/>
    <w:rsid w:val="00F65D3B"/>
    <w:rsid w:val="00F816C3"/>
    <w:rsid w:val="00F82B1A"/>
    <w:rsid w:val="00F86D13"/>
    <w:rsid w:val="00FA0C68"/>
    <w:rsid w:val="00FA41B3"/>
    <w:rsid w:val="00FA48B5"/>
    <w:rsid w:val="00FA5A7C"/>
    <w:rsid w:val="00FA5B8C"/>
    <w:rsid w:val="00FA5C65"/>
    <w:rsid w:val="00FB1572"/>
    <w:rsid w:val="00FB3B60"/>
    <w:rsid w:val="00FB3F01"/>
    <w:rsid w:val="00FB4557"/>
    <w:rsid w:val="00FB6BEB"/>
    <w:rsid w:val="00FB6D8E"/>
    <w:rsid w:val="00FC0FC7"/>
    <w:rsid w:val="00FC4A20"/>
    <w:rsid w:val="00FC57B1"/>
    <w:rsid w:val="00FC75FD"/>
    <w:rsid w:val="00FD13CA"/>
    <w:rsid w:val="00FD2048"/>
    <w:rsid w:val="00FE033F"/>
    <w:rsid w:val="00FE170A"/>
    <w:rsid w:val="00FE626D"/>
    <w:rsid w:val="00FE6558"/>
    <w:rsid w:val="00FE7FD6"/>
    <w:rsid w:val="00FF2FB3"/>
    <w:rsid w:val="00FF3A05"/>
    <w:rsid w:val="00FF43C7"/>
    <w:rsid w:val="00FF48B9"/>
    <w:rsid w:val="00FF532A"/>
    <w:rsid w:val="00FF6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f497d"/>
    </o:shapedefaults>
    <o:shapelayout v:ext="edit">
      <o:idmap v:ext="edit" data="1"/>
    </o:shapelayout>
  </w:shapeDefaults>
  <w:decimalSymbol w:val=","/>
  <w:listSeparator w:val=";"/>
  <w14:docId w14:val="5D7AAC18"/>
  <w15:docId w15:val="{CD96B794-3BE0-46E2-B3E4-5697F2D3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385"/>
    <w:rPr>
      <w:rFonts w:ascii="Arial" w:hAnsi="Arial"/>
      <w:szCs w:val="24"/>
      <w:lang w:val="en-US" w:eastAsia="en-US"/>
    </w:rPr>
  </w:style>
  <w:style w:type="paragraph" w:styleId="Heading1">
    <w:name w:val="heading 1"/>
    <w:basedOn w:val="Normal"/>
    <w:next w:val="Normal"/>
    <w:qFormat/>
    <w:rsid w:val="00953AEA"/>
    <w:pPr>
      <w:keepNext/>
      <w:spacing w:before="840" w:after="120"/>
      <w:outlineLvl w:val="0"/>
    </w:pPr>
    <w:rPr>
      <w:rFonts w:cs="Arial"/>
      <w:b/>
      <w:bCs/>
      <w:kern w:val="32"/>
      <w:sz w:val="32"/>
      <w:szCs w:val="32"/>
    </w:rPr>
  </w:style>
  <w:style w:type="paragraph" w:styleId="Heading4">
    <w:name w:val="heading 4"/>
    <w:basedOn w:val="Normal"/>
    <w:next w:val="Normal"/>
    <w:link w:val="Heading4Char"/>
    <w:qFormat/>
    <w:rsid w:val="00D0160C"/>
    <w:pPr>
      <w:keepNext/>
      <w:spacing w:before="240" w:after="60"/>
      <w:outlineLvl w:val="3"/>
    </w:pPr>
    <w:rPr>
      <w:rFonts w:ascii="Trebuchet MS" w:hAnsi="Trebuchet MS"/>
      <w:b/>
      <w:bCs/>
      <w:spacing w:val="20"/>
      <w:sz w:val="16"/>
      <w:szCs w:val="16"/>
    </w:rPr>
  </w:style>
  <w:style w:type="paragraph" w:styleId="Heading6">
    <w:name w:val="heading 6"/>
    <w:basedOn w:val="Normal"/>
    <w:next w:val="Normal"/>
    <w:link w:val="Heading6Char"/>
    <w:qFormat/>
    <w:rsid w:val="00D0160C"/>
    <w:pPr>
      <w:spacing w:before="240" w:after="60"/>
      <w:outlineLvl w:val="5"/>
    </w:pPr>
    <w:rPr>
      <w:rFonts w:ascii="Trebuchet MS" w:hAnsi="Trebuchet MS"/>
      <w:b/>
      <w:bCs/>
      <w:spacing w:val="20"/>
      <w:sz w:val="16"/>
      <w:szCs w:val="16"/>
    </w:rPr>
  </w:style>
  <w:style w:type="paragraph" w:styleId="Heading8">
    <w:name w:val="heading 8"/>
    <w:basedOn w:val="BodyText2"/>
    <w:next w:val="Normal"/>
    <w:qFormat/>
    <w:rsid w:val="007978CE"/>
    <w:pPr>
      <w:tabs>
        <w:tab w:val="left" w:pos="5760"/>
      </w:tabs>
      <w:outlineLvl w:val="7"/>
    </w:pPr>
    <w:rPr>
      <w:b/>
      <w:caps/>
      <w:szCs w:val="20"/>
    </w:rPr>
  </w:style>
  <w:style w:type="paragraph" w:styleId="Heading9">
    <w:name w:val="heading 9"/>
    <w:basedOn w:val="BodyText2"/>
    <w:next w:val="Normal"/>
    <w:link w:val="Heading9Char"/>
    <w:qFormat/>
    <w:rsid w:val="005935F6"/>
    <w:pPr>
      <w:tabs>
        <w:tab w:val="left" w:pos="5760"/>
      </w:tabs>
      <w:spacing w:after="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rsid w:val="006451B8"/>
    <w:pPr>
      <w:spacing w:after="120"/>
    </w:pPr>
  </w:style>
  <w:style w:type="paragraph" w:styleId="BodyText2">
    <w:name w:val="Body Text 2"/>
    <w:basedOn w:val="BodyText"/>
    <w:rsid w:val="006451B8"/>
    <w:pPr>
      <w:spacing w:before="60" w:after="0"/>
    </w:pPr>
    <w:rPr>
      <w:rFonts w:cs="Arial"/>
    </w:rPr>
  </w:style>
  <w:style w:type="paragraph" w:styleId="BodyText3">
    <w:name w:val="Body Text 3"/>
    <w:basedOn w:val="Normal"/>
    <w:next w:val="Normal"/>
    <w:link w:val="BodyText3Char"/>
    <w:rsid w:val="00D0160C"/>
    <w:pPr>
      <w:spacing w:before="40"/>
    </w:pPr>
  </w:style>
  <w:style w:type="paragraph" w:customStyle="1" w:styleId="BodyTextINTROParagraph">
    <w:name w:val="Body Text INTRO Paragraph"/>
    <w:basedOn w:val="Normal"/>
    <w:next w:val="Normal"/>
    <w:link w:val="BodyTextINTROParagraphChar"/>
    <w:rsid w:val="00D0160C"/>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link w:val="BodyTextINTROParagraph"/>
    <w:rsid w:val="00D0160C"/>
    <w:rPr>
      <w:rFonts w:ascii="Arial" w:hAnsi="Arial" w:cs="Courier New"/>
      <w:b/>
      <w:color w:val="333333"/>
      <w:szCs w:val="24"/>
      <w:lang w:val="en-US" w:eastAsia="en-US" w:bidi="ar-SA"/>
    </w:rPr>
  </w:style>
  <w:style w:type="paragraph" w:customStyle="1" w:styleId="Companyname">
    <w:name w:val="Company name"/>
    <w:basedOn w:val="BodyTextINTROParagraph"/>
    <w:next w:val="Normal"/>
    <w:rsid w:val="00953AEA"/>
    <w:pPr>
      <w:spacing w:before="0" w:after="0" w:line="240" w:lineRule="auto"/>
      <w:ind w:left="0"/>
    </w:pPr>
    <w:rPr>
      <w:sz w:val="24"/>
    </w:rPr>
  </w:style>
  <w:style w:type="paragraph" w:styleId="Footer">
    <w:name w:val="footer"/>
    <w:basedOn w:val="Normal"/>
    <w:rsid w:val="00D0160C"/>
    <w:pPr>
      <w:ind w:left="7560" w:hanging="7560"/>
    </w:pPr>
    <w:rPr>
      <w:rFonts w:cs="Arial"/>
      <w:sz w:val="16"/>
      <w:szCs w:val="16"/>
    </w:rPr>
  </w:style>
  <w:style w:type="paragraph" w:styleId="Header">
    <w:name w:val="header"/>
    <w:basedOn w:val="Normal"/>
    <w:rsid w:val="00D0160C"/>
    <w:pPr>
      <w:tabs>
        <w:tab w:val="center" w:pos="4320"/>
        <w:tab w:val="right" w:pos="8640"/>
      </w:tabs>
    </w:pPr>
    <w:rPr>
      <w:rFonts w:cs="Arial"/>
      <w:spacing w:val="10"/>
      <w:sz w:val="16"/>
      <w:szCs w:val="16"/>
    </w:rPr>
  </w:style>
  <w:style w:type="character" w:customStyle="1" w:styleId="Heading4Char">
    <w:name w:val="Heading 4 Char"/>
    <w:link w:val="Heading4"/>
    <w:rsid w:val="00D0160C"/>
    <w:rPr>
      <w:rFonts w:ascii="Trebuchet MS" w:hAnsi="Trebuchet MS"/>
      <w:b/>
      <w:bCs/>
      <w:spacing w:val="20"/>
      <w:sz w:val="16"/>
      <w:szCs w:val="16"/>
      <w:lang w:val="en-US" w:eastAsia="en-US" w:bidi="ar-SA"/>
    </w:rPr>
  </w:style>
  <w:style w:type="character" w:customStyle="1" w:styleId="Heading6Char">
    <w:name w:val="Heading 6 Char"/>
    <w:basedOn w:val="DefaultParagraphFont"/>
    <w:link w:val="Heading6"/>
    <w:rsid w:val="00D0160C"/>
  </w:style>
  <w:style w:type="table" w:styleId="TableGrid">
    <w:name w:val="Table Grid"/>
    <w:basedOn w:val="TableNormal"/>
    <w:rsid w:val="00D5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5935F6"/>
    <w:rPr>
      <w:rFonts w:ascii="Arial" w:hAnsi="Arial" w:cs="Arial"/>
      <w:b/>
      <w:szCs w:val="24"/>
      <w:lang w:val="en-US" w:eastAsia="en-US" w:bidi="ar-SA"/>
    </w:rPr>
  </w:style>
  <w:style w:type="character" w:customStyle="1" w:styleId="BodyTextChar">
    <w:name w:val="Body Text Char"/>
    <w:link w:val="BodyText"/>
    <w:rsid w:val="006451B8"/>
    <w:rPr>
      <w:rFonts w:ascii="Arial" w:hAnsi="Arial"/>
      <w:szCs w:val="24"/>
      <w:lang w:val="en-US" w:eastAsia="en-US" w:bidi="ar-SA"/>
    </w:rPr>
  </w:style>
  <w:style w:type="character" w:customStyle="1" w:styleId="BodyText3Char">
    <w:name w:val="Body Text 3 Char"/>
    <w:link w:val="BodyText3"/>
    <w:rsid w:val="006451B8"/>
    <w:rPr>
      <w:rFonts w:ascii="Arial" w:hAnsi="Arial"/>
      <w:szCs w:val="24"/>
      <w:lang w:val="en-US" w:eastAsia="en-US" w:bidi="ar-SA"/>
    </w:rPr>
  </w:style>
  <w:style w:type="character" w:styleId="Hyperlink">
    <w:name w:val="Hyperlink"/>
    <w:rsid w:val="007978CE"/>
    <w:rPr>
      <w:color w:val="0000FF"/>
      <w:u w:val="single"/>
    </w:rPr>
  </w:style>
  <w:style w:type="numbering" w:customStyle="1" w:styleId="List--level1">
    <w:name w:val="List -- level 1"/>
    <w:basedOn w:val="NoList"/>
    <w:rsid w:val="00D26D5F"/>
    <w:pPr>
      <w:numPr>
        <w:numId w:val="1"/>
      </w:numPr>
    </w:pPr>
  </w:style>
  <w:style w:type="paragraph" w:customStyle="1" w:styleId="ListLevel3">
    <w:name w:val="List Level 3"/>
    <w:basedOn w:val="Normal"/>
    <w:next w:val="Normal"/>
    <w:rsid w:val="00D62C5D"/>
    <w:pPr>
      <w:numPr>
        <w:numId w:val="4"/>
      </w:numPr>
    </w:pPr>
  </w:style>
  <w:style w:type="character" w:styleId="PageNumber">
    <w:name w:val="page number"/>
    <w:basedOn w:val="DefaultParagraphFont"/>
    <w:rsid w:val="002A0FD3"/>
  </w:style>
  <w:style w:type="paragraph" w:customStyle="1" w:styleId="StyleBefore6ptAfter6pt">
    <w:name w:val="Style Before:  6 pt After:  6 pt"/>
    <w:basedOn w:val="Normal"/>
    <w:rsid w:val="00F86D13"/>
    <w:pPr>
      <w:spacing w:before="120" w:after="60"/>
    </w:pPr>
    <w:rPr>
      <w:szCs w:val="20"/>
    </w:rPr>
  </w:style>
  <w:style w:type="paragraph" w:customStyle="1" w:styleId="StyleBoldBefore6ptAfter3pt">
    <w:name w:val="Style Bold Before:  6 pt After:  3 pt"/>
    <w:basedOn w:val="Normal"/>
    <w:rsid w:val="00C343AE"/>
    <w:pPr>
      <w:spacing w:before="120" w:after="120"/>
    </w:pPr>
    <w:rPr>
      <w:b/>
      <w:bCs/>
      <w:szCs w:val="20"/>
    </w:rPr>
  </w:style>
  <w:style w:type="character" w:styleId="CommentReference">
    <w:name w:val="annotation reference"/>
    <w:semiHidden/>
    <w:rsid w:val="00AC663E"/>
    <w:rPr>
      <w:sz w:val="16"/>
      <w:szCs w:val="16"/>
    </w:rPr>
  </w:style>
  <w:style w:type="numbering" w:customStyle="1" w:styleId="StyleNumberedItalic1">
    <w:name w:val="Style Numbered Italic1"/>
    <w:rsid w:val="00213D2C"/>
    <w:pPr>
      <w:numPr>
        <w:numId w:val="2"/>
      </w:numPr>
    </w:pPr>
  </w:style>
  <w:style w:type="paragraph" w:customStyle="1" w:styleId="List-level4">
    <w:name w:val="List - level 4"/>
    <w:basedOn w:val="Normal"/>
    <w:next w:val="Normal"/>
    <w:rsid w:val="006B2024"/>
    <w:pPr>
      <w:numPr>
        <w:numId w:val="3"/>
      </w:numPr>
    </w:pPr>
    <w:rPr>
      <w:i/>
      <w:szCs w:val="20"/>
    </w:rPr>
  </w:style>
  <w:style w:type="paragraph" w:styleId="CommentText">
    <w:name w:val="annotation text"/>
    <w:basedOn w:val="Normal"/>
    <w:semiHidden/>
    <w:rsid w:val="00AC663E"/>
    <w:rPr>
      <w:szCs w:val="20"/>
    </w:rPr>
  </w:style>
  <w:style w:type="paragraph" w:styleId="CommentSubject">
    <w:name w:val="annotation subject"/>
    <w:basedOn w:val="CommentText"/>
    <w:next w:val="CommentText"/>
    <w:semiHidden/>
    <w:rsid w:val="00AC663E"/>
    <w:rPr>
      <w:b/>
      <w:bCs/>
    </w:rPr>
  </w:style>
  <w:style w:type="paragraph" w:styleId="BalloonText">
    <w:name w:val="Balloon Text"/>
    <w:basedOn w:val="Normal"/>
    <w:semiHidden/>
    <w:rsid w:val="00AC663E"/>
    <w:rPr>
      <w:rFonts w:ascii="Tahoma" w:hAnsi="Tahoma" w:cs="Tahoma"/>
      <w:sz w:val="16"/>
      <w:szCs w:val="16"/>
    </w:rPr>
  </w:style>
  <w:style w:type="character" w:styleId="Emphasis">
    <w:name w:val="Emphasis"/>
    <w:qFormat/>
    <w:rsid w:val="00953AEA"/>
    <w:rPr>
      <w:rFonts w:ascii="Arial" w:hAnsi="Arial"/>
      <w:i/>
      <w:iCs/>
      <w:color w:val="333333"/>
      <w:sz w:val="20"/>
    </w:rPr>
  </w:style>
  <w:style w:type="character" w:customStyle="1" w:styleId="Instructionaltext">
    <w:name w:val="Instructional text"/>
    <w:rsid w:val="000841C2"/>
    <w:rPr>
      <w:rFonts w:ascii="Arial" w:hAnsi="Arial"/>
      <w:i/>
      <w:color w:val="5F5F5F"/>
      <w:sz w:val="20"/>
    </w:rPr>
  </w:style>
  <w:style w:type="numbering" w:customStyle="1" w:styleId="Listlevel2">
    <w:name w:val="List level 2"/>
    <w:basedOn w:val="NoList"/>
    <w:rsid w:val="00EA4D9A"/>
    <w:pPr>
      <w:numPr>
        <w:numId w:val="6"/>
      </w:numPr>
    </w:pPr>
  </w:style>
  <w:style w:type="paragraph" w:customStyle="1" w:styleId="Style1">
    <w:name w:val="Style1"/>
    <w:basedOn w:val="List-level4"/>
    <w:rsid w:val="005D0EBD"/>
    <w:pPr>
      <w:tabs>
        <w:tab w:val="num" w:pos="2880"/>
      </w:tabs>
      <w:ind w:left="2880"/>
    </w:pPr>
  </w:style>
  <w:style w:type="paragraph" w:styleId="ListNumber4">
    <w:name w:val="List Number 4"/>
    <w:basedOn w:val="Normal"/>
    <w:rsid w:val="005D0EBD"/>
    <w:pPr>
      <w:numPr>
        <w:numId w:val="5"/>
      </w:numPr>
    </w:pPr>
  </w:style>
  <w:style w:type="paragraph" w:styleId="NormalWeb">
    <w:name w:val="Normal (Web)"/>
    <w:basedOn w:val="Normal"/>
    <w:rsid w:val="00DD2250"/>
    <w:pPr>
      <w:spacing w:before="100" w:beforeAutospacing="1" w:after="100" w:afterAutospacing="1"/>
    </w:pPr>
    <w:rPr>
      <w:rFonts w:ascii="Times New Roman" w:hAnsi="Times New Roman"/>
      <w:sz w:val="24"/>
    </w:rPr>
  </w:style>
  <w:style w:type="paragraph" w:styleId="NoSpacing">
    <w:name w:val="No Spacing"/>
    <w:link w:val="NoSpacingChar"/>
    <w:uiPriority w:val="1"/>
    <w:qFormat/>
    <w:rsid w:val="00FD13CA"/>
    <w:rPr>
      <w:rFonts w:ascii="Calibri" w:eastAsia="MS Mincho" w:hAnsi="Calibri" w:cs="Arial"/>
      <w:sz w:val="22"/>
      <w:szCs w:val="22"/>
      <w:lang w:val="en-US" w:eastAsia="ja-JP"/>
    </w:rPr>
  </w:style>
  <w:style w:type="character" w:customStyle="1" w:styleId="NoSpacingChar">
    <w:name w:val="No Spacing Char"/>
    <w:link w:val="NoSpacing"/>
    <w:uiPriority w:val="1"/>
    <w:rsid w:val="00FD13CA"/>
    <w:rPr>
      <w:rFonts w:ascii="Calibri" w:eastAsia="MS Mincho" w:hAnsi="Calibri" w:cs="Arial"/>
      <w:sz w:val="22"/>
      <w:szCs w:val="22"/>
      <w:lang w:val="en-US" w:eastAsia="ja-JP"/>
    </w:rPr>
  </w:style>
  <w:style w:type="paragraph" w:styleId="ListParagraph">
    <w:name w:val="List Paragraph"/>
    <w:basedOn w:val="Normal"/>
    <w:uiPriority w:val="34"/>
    <w:qFormat/>
    <w:rsid w:val="001E64D7"/>
    <w:pPr>
      <w:spacing w:after="200" w:line="276" w:lineRule="auto"/>
      <w:ind w:left="720"/>
      <w:contextualSpacing/>
    </w:pPr>
    <w:rPr>
      <w:rFonts w:ascii="Cambria" w:eastAsia="Cambria" w:hAnsi="Cambria"/>
      <w:sz w:val="22"/>
      <w:szCs w:val="22"/>
      <w:lang w:val="en-IE"/>
    </w:rPr>
  </w:style>
  <w:style w:type="paragraph" w:customStyle="1" w:styleId="Paragraph1">
    <w:name w:val="Paragraph1"/>
    <w:basedOn w:val="Normal"/>
    <w:link w:val="Paragraph1Char"/>
    <w:rsid w:val="001E64D7"/>
    <w:pPr>
      <w:autoSpaceDE w:val="0"/>
      <w:autoSpaceDN w:val="0"/>
      <w:adjustRightInd w:val="0"/>
      <w:spacing w:line="360" w:lineRule="auto"/>
    </w:pPr>
    <w:rPr>
      <w:rFonts w:ascii="Times New Roman" w:hAnsi="Times New Roman"/>
      <w:color w:val="000000"/>
      <w:sz w:val="24"/>
      <w:lang w:val="en-IE"/>
    </w:rPr>
  </w:style>
  <w:style w:type="character" w:customStyle="1" w:styleId="Paragraph1Char">
    <w:name w:val="Paragraph1 Char"/>
    <w:link w:val="Paragraph1"/>
    <w:locked/>
    <w:rsid w:val="001E64D7"/>
    <w:rPr>
      <w:color w:val="000000"/>
      <w:sz w:val="24"/>
      <w:szCs w:val="24"/>
      <w:lang w:eastAsia="en-US"/>
    </w:rPr>
  </w:style>
  <w:style w:type="paragraph" w:customStyle="1" w:styleId="DeeStyle1">
    <w:name w:val="Dee Style 1"/>
    <w:basedOn w:val="Normal"/>
    <w:link w:val="DeeStyle1Char"/>
    <w:qFormat/>
    <w:rsid w:val="001E64D7"/>
    <w:pPr>
      <w:autoSpaceDE w:val="0"/>
      <w:autoSpaceDN w:val="0"/>
      <w:adjustRightInd w:val="0"/>
      <w:spacing w:line="360" w:lineRule="auto"/>
      <w:jc w:val="both"/>
    </w:pPr>
    <w:rPr>
      <w:rFonts w:ascii="Verdana" w:hAnsi="Verdana"/>
      <w:b/>
      <w:color w:val="1F497D"/>
      <w:lang w:val="en-GB"/>
    </w:rPr>
  </w:style>
  <w:style w:type="paragraph" w:customStyle="1" w:styleId="Deestle1">
    <w:name w:val="Dee stle 1"/>
    <w:basedOn w:val="Paragraph1"/>
    <w:link w:val="Deestle1Char"/>
    <w:qFormat/>
    <w:rsid w:val="001E64D7"/>
    <w:pPr>
      <w:spacing w:after="120" w:line="240" w:lineRule="auto"/>
    </w:pPr>
    <w:rPr>
      <w:rFonts w:ascii="Verdana" w:hAnsi="Verdana" w:cs="Verdana"/>
      <w:b/>
      <w:sz w:val="20"/>
    </w:rPr>
  </w:style>
  <w:style w:type="character" w:customStyle="1" w:styleId="DeeStyle1Char">
    <w:name w:val="Dee Style 1 Char"/>
    <w:link w:val="DeeStyle1"/>
    <w:rsid w:val="001E64D7"/>
    <w:rPr>
      <w:rFonts w:ascii="Verdana" w:hAnsi="Verdana"/>
      <w:b/>
      <w:color w:val="1F497D"/>
      <w:szCs w:val="24"/>
      <w:lang w:val="en-GB" w:eastAsia="en-US"/>
    </w:rPr>
  </w:style>
  <w:style w:type="character" w:customStyle="1" w:styleId="Deestle1Char">
    <w:name w:val="Dee stle 1 Char"/>
    <w:link w:val="Deestle1"/>
    <w:rsid w:val="001E64D7"/>
    <w:rPr>
      <w:rFonts w:ascii="Verdana" w:hAnsi="Verdana" w:cs="Verdana"/>
      <w:b/>
      <w:color w:val="000000"/>
      <w:szCs w:val="24"/>
      <w:lang w:eastAsia="en-US"/>
    </w:rPr>
  </w:style>
  <w:style w:type="paragraph" w:styleId="FootnoteText">
    <w:name w:val="footnote text"/>
    <w:basedOn w:val="Normal"/>
    <w:link w:val="FootnoteTextChar"/>
    <w:rsid w:val="00B32E3A"/>
    <w:rPr>
      <w:szCs w:val="20"/>
    </w:rPr>
  </w:style>
  <w:style w:type="character" w:customStyle="1" w:styleId="FootnoteTextChar">
    <w:name w:val="Footnote Text Char"/>
    <w:link w:val="FootnoteText"/>
    <w:rsid w:val="00B32E3A"/>
    <w:rPr>
      <w:rFonts w:ascii="Arial" w:hAnsi="Arial"/>
      <w:lang w:val="en-US" w:eastAsia="en-US"/>
    </w:rPr>
  </w:style>
  <w:style w:type="character" w:styleId="FootnoteReference">
    <w:name w:val="footnote reference"/>
    <w:rsid w:val="00B32E3A"/>
    <w:rPr>
      <w:vertAlign w:val="superscript"/>
    </w:rPr>
  </w:style>
  <w:style w:type="table" w:styleId="LightShading-Accent1">
    <w:name w:val="Light Shading Accent 1"/>
    <w:basedOn w:val="TableNormal"/>
    <w:uiPriority w:val="60"/>
    <w:rsid w:val="00E16DF0"/>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paragraph" w:styleId="Caption">
    <w:name w:val="caption"/>
    <w:basedOn w:val="Normal"/>
    <w:next w:val="Normal"/>
    <w:unhideWhenUsed/>
    <w:qFormat/>
    <w:rsid w:val="00802A0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6529">
      <w:bodyDiv w:val="1"/>
      <w:marLeft w:val="0"/>
      <w:marRight w:val="0"/>
      <w:marTop w:val="0"/>
      <w:marBottom w:val="0"/>
      <w:divBdr>
        <w:top w:val="none" w:sz="0" w:space="0" w:color="auto"/>
        <w:left w:val="none" w:sz="0" w:space="0" w:color="auto"/>
        <w:bottom w:val="none" w:sz="0" w:space="0" w:color="auto"/>
        <w:right w:val="none" w:sz="0" w:space="0" w:color="auto"/>
      </w:divBdr>
      <w:divsChild>
        <w:div w:id="587159842">
          <w:marLeft w:val="0"/>
          <w:marRight w:val="0"/>
          <w:marTop w:val="0"/>
          <w:marBottom w:val="0"/>
          <w:divBdr>
            <w:top w:val="none" w:sz="0" w:space="0" w:color="auto"/>
            <w:left w:val="none" w:sz="0" w:space="0" w:color="auto"/>
            <w:bottom w:val="none" w:sz="0" w:space="0" w:color="auto"/>
            <w:right w:val="none" w:sz="0" w:space="0" w:color="auto"/>
          </w:divBdr>
          <w:divsChild>
            <w:div w:id="786239353">
              <w:marLeft w:val="0"/>
              <w:marRight w:val="0"/>
              <w:marTop w:val="0"/>
              <w:marBottom w:val="0"/>
              <w:divBdr>
                <w:top w:val="none" w:sz="0" w:space="0" w:color="auto"/>
                <w:left w:val="none" w:sz="0" w:space="0" w:color="auto"/>
                <w:bottom w:val="none" w:sz="0" w:space="0" w:color="auto"/>
                <w:right w:val="none" w:sz="0" w:space="0" w:color="auto"/>
              </w:divBdr>
              <w:divsChild>
                <w:div w:id="995112017">
                  <w:marLeft w:val="0"/>
                  <w:marRight w:val="0"/>
                  <w:marTop w:val="0"/>
                  <w:marBottom w:val="0"/>
                  <w:divBdr>
                    <w:top w:val="none" w:sz="0" w:space="0" w:color="auto"/>
                    <w:left w:val="none" w:sz="0" w:space="0" w:color="auto"/>
                    <w:bottom w:val="none" w:sz="0" w:space="0" w:color="auto"/>
                    <w:right w:val="none" w:sz="0" w:space="0" w:color="auto"/>
                  </w:divBdr>
                  <w:divsChild>
                    <w:div w:id="675616631">
                      <w:marLeft w:val="0"/>
                      <w:marRight w:val="0"/>
                      <w:marTop w:val="0"/>
                      <w:marBottom w:val="0"/>
                      <w:divBdr>
                        <w:top w:val="none" w:sz="0" w:space="0" w:color="auto"/>
                        <w:left w:val="none" w:sz="0" w:space="0" w:color="auto"/>
                        <w:bottom w:val="none" w:sz="0" w:space="0" w:color="auto"/>
                        <w:right w:val="none" w:sz="0" w:space="0" w:color="auto"/>
                      </w:divBdr>
                      <w:divsChild>
                        <w:div w:id="257255379">
                          <w:marLeft w:val="0"/>
                          <w:marRight w:val="0"/>
                          <w:marTop w:val="0"/>
                          <w:marBottom w:val="0"/>
                          <w:divBdr>
                            <w:top w:val="none" w:sz="0" w:space="0" w:color="auto"/>
                            <w:left w:val="none" w:sz="0" w:space="0" w:color="auto"/>
                            <w:bottom w:val="none" w:sz="0" w:space="0" w:color="auto"/>
                            <w:right w:val="none" w:sz="0" w:space="0" w:color="auto"/>
                          </w:divBdr>
                          <w:divsChild>
                            <w:div w:id="811337238">
                              <w:marLeft w:val="0"/>
                              <w:marRight w:val="0"/>
                              <w:marTop w:val="0"/>
                              <w:marBottom w:val="0"/>
                              <w:divBdr>
                                <w:top w:val="none" w:sz="0" w:space="0" w:color="auto"/>
                                <w:left w:val="none" w:sz="0" w:space="0" w:color="auto"/>
                                <w:bottom w:val="none" w:sz="0" w:space="0" w:color="auto"/>
                                <w:right w:val="none" w:sz="0" w:space="0" w:color="auto"/>
                              </w:divBdr>
                              <w:divsChild>
                                <w:div w:id="1220746300">
                                  <w:marLeft w:val="0"/>
                                  <w:marRight w:val="0"/>
                                  <w:marTop w:val="0"/>
                                  <w:marBottom w:val="0"/>
                                  <w:divBdr>
                                    <w:top w:val="none" w:sz="0" w:space="0" w:color="auto"/>
                                    <w:left w:val="none" w:sz="0" w:space="0" w:color="auto"/>
                                    <w:bottom w:val="none" w:sz="0" w:space="0" w:color="auto"/>
                                    <w:right w:val="none" w:sz="0" w:space="0" w:color="auto"/>
                                  </w:divBdr>
                                  <w:divsChild>
                                    <w:div w:id="1609464609">
                                      <w:marLeft w:val="0"/>
                                      <w:marRight w:val="0"/>
                                      <w:marTop w:val="0"/>
                                      <w:marBottom w:val="0"/>
                                      <w:divBdr>
                                        <w:top w:val="none" w:sz="0" w:space="0" w:color="auto"/>
                                        <w:left w:val="none" w:sz="0" w:space="0" w:color="auto"/>
                                        <w:bottom w:val="none" w:sz="0" w:space="0" w:color="auto"/>
                                        <w:right w:val="none" w:sz="0" w:space="0" w:color="auto"/>
                                      </w:divBdr>
                                      <w:divsChild>
                                        <w:div w:id="1329282512">
                                          <w:marLeft w:val="0"/>
                                          <w:marRight w:val="0"/>
                                          <w:marTop w:val="0"/>
                                          <w:marBottom w:val="0"/>
                                          <w:divBdr>
                                            <w:top w:val="none" w:sz="0" w:space="0" w:color="auto"/>
                                            <w:left w:val="none" w:sz="0" w:space="0" w:color="auto"/>
                                            <w:bottom w:val="none" w:sz="0" w:space="0" w:color="auto"/>
                                            <w:right w:val="none" w:sz="0" w:space="0" w:color="auto"/>
                                          </w:divBdr>
                                          <w:divsChild>
                                            <w:div w:id="1183545258">
                                              <w:marLeft w:val="0"/>
                                              <w:marRight w:val="0"/>
                                              <w:marTop w:val="0"/>
                                              <w:marBottom w:val="0"/>
                                              <w:divBdr>
                                                <w:top w:val="none" w:sz="0" w:space="0" w:color="auto"/>
                                                <w:left w:val="none" w:sz="0" w:space="0" w:color="auto"/>
                                                <w:bottom w:val="none" w:sz="0" w:space="0" w:color="auto"/>
                                                <w:right w:val="none" w:sz="0" w:space="0" w:color="auto"/>
                                              </w:divBdr>
                                              <w:divsChild>
                                                <w:div w:id="1931505790">
                                                  <w:marLeft w:val="0"/>
                                                  <w:marRight w:val="0"/>
                                                  <w:marTop w:val="0"/>
                                                  <w:marBottom w:val="0"/>
                                                  <w:divBdr>
                                                    <w:top w:val="none" w:sz="0" w:space="0" w:color="auto"/>
                                                    <w:left w:val="none" w:sz="0" w:space="0" w:color="auto"/>
                                                    <w:bottom w:val="none" w:sz="0" w:space="0" w:color="auto"/>
                                                    <w:right w:val="none" w:sz="0" w:space="0" w:color="auto"/>
                                                  </w:divBdr>
                                                  <w:divsChild>
                                                    <w:div w:id="3170117">
                                                      <w:marLeft w:val="0"/>
                                                      <w:marRight w:val="0"/>
                                                      <w:marTop w:val="0"/>
                                                      <w:marBottom w:val="0"/>
                                                      <w:divBdr>
                                                        <w:top w:val="none" w:sz="0" w:space="0" w:color="auto"/>
                                                        <w:left w:val="none" w:sz="0" w:space="0" w:color="auto"/>
                                                        <w:bottom w:val="none" w:sz="0" w:space="0" w:color="auto"/>
                                                        <w:right w:val="none" w:sz="0" w:space="0" w:color="auto"/>
                                                      </w:divBdr>
                                                      <w:divsChild>
                                                        <w:div w:id="1862357121">
                                                          <w:marLeft w:val="0"/>
                                                          <w:marRight w:val="0"/>
                                                          <w:marTop w:val="0"/>
                                                          <w:marBottom w:val="0"/>
                                                          <w:divBdr>
                                                            <w:top w:val="none" w:sz="0" w:space="0" w:color="auto"/>
                                                            <w:left w:val="none" w:sz="0" w:space="0" w:color="auto"/>
                                                            <w:bottom w:val="none" w:sz="0" w:space="0" w:color="auto"/>
                                                            <w:right w:val="none" w:sz="0" w:space="0" w:color="auto"/>
                                                          </w:divBdr>
                                                          <w:divsChild>
                                                            <w:div w:id="1204906077">
                                                              <w:marLeft w:val="0"/>
                                                              <w:marRight w:val="150"/>
                                                              <w:marTop w:val="0"/>
                                                              <w:marBottom w:val="150"/>
                                                              <w:divBdr>
                                                                <w:top w:val="none" w:sz="0" w:space="0" w:color="auto"/>
                                                                <w:left w:val="none" w:sz="0" w:space="0" w:color="auto"/>
                                                                <w:bottom w:val="none" w:sz="0" w:space="0" w:color="auto"/>
                                                                <w:right w:val="none" w:sz="0" w:space="0" w:color="auto"/>
                                                              </w:divBdr>
                                                              <w:divsChild>
                                                                <w:div w:id="1612080103">
                                                                  <w:marLeft w:val="0"/>
                                                                  <w:marRight w:val="0"/>
                                                                  <w:marTop w:val="0"/>
                                                                  <w:marBottom w:val="0"/>
                                                                  <w:divBdr>
                                                                    <w:top w:val="none" w:sz="0" w:space="0" w:color="auto"/>
                                                                    <w:left w:val="none" w:sz="0" w:space="0" w:color="auto"/>
                                                                    <w:bottom w:val="none" w:sz="0" w:space="0" w:color="auto"/>
                                                                    <w:right w:val="none" w:sz="0" w:space="0" w:color="auto"/>
                                                                  </w:divBdr>
                                                                  <w:divsChild>
                                                                    <w:div w:id="1749965052">
                                                                      <w:marLeft w:val="0"/>
                                                                      <w:marRight w:val="0"/>
                                                                      <w:marTop w:val="0"/>
                                                                      <w:marBottom w:val="0"/>
                                                                      <w:divBdr>
                                                                        <w:top w:val="none" w:sz="0" w:space="0" w:color="auto"/>
                                                                        <w:left w:val="none" w:sz="0" w:space="0" w:color="auto"/>
                                                                        <w:bottom w:val="none" w:sz="0" w:space="0" w:color="auto"/>
                                                                        <w:right w:val="none" w:sz="0" w:space="0" w:color="auto"/>
                                                                      </w:divBdr>
                                                                      <w:divsChild>
                                                                        <w:div w:id="1939672401">
                                                                          <w:marLeft w:val="0"/>
                                                                          <w:marRight w:val="0"/>
                                                                          <w:marTop w:val="0"/>
                                                                          <w:marBottom w:val="0"/>
                                                                          <w:divBdr>
                                                                            <w:top w:val="none" w:sz="0" w:space="0" w:color="auto"/>
                                                                            <w:left w:val="none" w:sz="0" w:space="0" w:color="auto"/>
                                                                            <w:bottom w:val="none" w:sz="0" w:space="0" w:color="auto"/>
                                                                            <w:right w:val="none" w:sz="0" w:space="0" w:color="auto"/>
                                                                          </w:divBdr>
                                                                          <w:divsChild>
                                                                            <w:div w:id="71244324">
                                                                              <w:marLeft w:val="0"/>
                                                                              <w:marRight w:val="0"/>
                                                                              <w:marTop w:val="0"/>
                                                                              <w:marBottom w:val="0"/>
                                                                              <w:divBdr>
                                                                                <w:top w:val="none" w:sz="0" w:space="0" w:color="auto"/>
                                                                                <w:left w:val="none" w:sz="0" w:space="0" w:color="auto"/>
                                                                                <w:bottom w:val="none" w:sz="0" w:space="0" w:color="auto"/>
                                                                                <w:right w:val="none" w:sz="0" w:space="0" w:color="auto"/>
                                                                              </w:divBdr>
                                                                              <w:divsChild>
                                                                                <w:div w:id="1878154380">
                                                                                  <w:marLeft w:val="0"/>
                                                                                  <w:marRight w:val="0"/>
                                                                                  <w:marTop w:val="0"/>
                                                                                  <w:marBottom w:val="0"/>
                                                                                  <w:divBdr>
                                                                                    <w:top w:val="none" w:sz="0" w:space="0" w:color="auto"/>
                                                                                    <w:left w:val="none" w:sz="0" w:space="0" w:color="auto"/>
                                                                                    <w:bottom w:val="none" w:sz="0" w:space="0" w:color="auto"/>
                                                                                    <w:right w:val="none" w:sz="0" w:space="0" w:color="auto"/>
                                                                                  </w:divBdr>
                                                                                  <w:divsChild>
                                                                                    <w:div w:id="410199869">
                                                                                      <w:marLeft w:val="720"/>
                                                                                      <w:marRight w:val="0"/>
                                                                                      <w:marTop w:val="0"/>
                                                                                      <w:marBottom w:val="0"/>
                                                                                      <w:divBdr>
                                                                                        <w:top w:val="none" w:sz="0" w:space="0" w:color="auto"/>
                                                                                        <w:left w:val="none" w:sz="0" w:space="0" w:color="auto"/>
                                                                                        <w:bottom w:val="none" w:sz="0" w:space="0" w:color="auto"/>
                                                                                        <w:right w:val="none" w:sz="0" w:space="0" w:color="auto"/>
                                                                                      </w:divBdr>
                                                                                    </w:div>
                                                                                    <w:div w:id="771165027">
                                                                                      <w:marLeft w:val="720"/>
                                                                                      <w:marRight w:val="0"/>
                                                                                      <w:marTop w:val="0"/>
                                                                                      <w:marBottom w:val="0"/>
                                                                                      <w:divBdr>
                                                                                        <w:top w:val="none" w:sz="0" w:space="0" w:color="auto"/>
                                                                                        <w:left w:val="none" w:sz="0" w:space="0" w:color="auto"/>
                                                                                        <w:bottom w:val="none" w:sz="0" w:space="0" w:color="auto"/>
                                                                                        <w:right w:val="none" w:sz="0" w:space="0" w:color="auto"/>
                                                                                      </w:divBdr>
                                                                                    </w:div>
                                                                                    <w:div w:id="1381397960">
                                                                                      <w:marLeft w:val="720"/>
                                                                                      <w:marRight w:val="0"/>
                                                                                      <w:marTop w:val="0"/>
                                                                                      <w:marBottom w:val="0"/>
                                                                                      <w:divBdr>
                                                                                        <w:top w:val="none" w:sz="0" w:space="0" w:color="auto"/>
                                                                                        <w:left w:val="none" w:sz="0" w:space="0" w:color="auto"/>
                                                                                        <w:bottom w:val="none" w:sz="0" w:space="0" w:color="auto"/>
                                                                                        <w:right w:val="none" w:sz="0" w:space="0" w:color="auto"/>
                                                                                      </w:divBdr>
                                                                                    </w:div>
                                                                                    <w:div w:id="1441756119">
                                                                                      <w:marLeft w:val="720"/>
                                                                                      <w:marRight w:val="0"/>
                                                                                      <w:marTop w:val="0"/>
                                                                                      <w:marBottom w:val="0"/>
                                                                                      <w:divBdr>
                                                                                        <w:top w:val="none" w:sz="0" w:space="0" w:color="auto"/>
                                                                                        <w:left w:val="none" w:sz="0" w:space="0" w:color="auto"/>
                                                                                        <w:bottom w:val="none" w:sz="0" w:space="0" w:color="auto"/>
                                                                                        <w:right w:val="none" w:sz="0" w:space="0" w:color="auto"/>
                                                                                      </w:divBdr>
                                                                                    </w:div>
                                                                                    <w:div w:id="1711832732">
                                                                                      <w:marLeft w:val="720"/>
                                                                                      <w:marRight w:val="0"/>
                                                                                      <w:marTop w:val="0"/>
                                                                                      <w:marBottom w:val="0"/>
                                                                                      <w:divBdr>
                                                                                        <w:top w:val="none" w:sz="0" w:space="0" w:color="auto"/>
                                                                                        <w:left w:val="none" w:sz="0" w:space="0" w:color="auto"/>
                                                                                        <w:bottom w:val="none" w:sz="0" w:space="0" w:color="auto"/>
                                                                                        <w:right w:val="none" w:sz="0" w:space="0" w:color="auto"/>
                                                                                      </w:divBdr>
                                                                                    </w:div>
                                                                                    <w:div w:id="17395963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979126">
      <w:bodyDiv w:val="1"/>
      <w:marLeft w:val="0"/>
      <w:marRight w:val="0"/>
      <w:marTop w:val="0"/>
      <w:marBottom w:val="0"/>
      <w:divBdr>
        <w:top w:val="none" w:sz="0" w:space="0" w:color="auto"/>
        <w:left w:val="none" w:sz="0" w:space="0" w:color="auto"/>
        <w:bottom w:val="none" w:sz="0" w:space="0" w:color="auto"/>
        <w:right w:val="none" w:sz="0" w:space="0" w:color="auto"/>
      </w:divBdr>
    </w:div>
    <w:div w:id="741878657">
      <w:bodyDiv w:val="1"/>
      <w:marLeft w:val="0"/>
      <w:marRight w:val="0"/>
      <w:marTop w:val="0"/>
      <w:marBottom w:val="0"/>
      <w:divBdr>
        <w:top w:val="none" w:sz="0" w:space="0" w:color="auto"/>
        <w:left w:val="none" w:sz="0" w:space="0" w:color="auto"/>
        <w:bottom w:val="none" w:sz="0" w:space="0" w:color="auto"/>
        <w:right w:val="none" w:sz="0" w:space="0" w:color="auto"/>
      </w:divBdr>
    </w:div>
    <w:div w:id="1018896961">
      <w:bodyDiv w:val="1"/>
      <w:marLeft w:val="0"/>
      <w:marRight w:val="0"/>
      <w:marTop w:val="0"/>
      <w:marBottom w:val="0"/>
      <w:divBdr>
        <w:top w:val="none" w:sz="0" w:space="0" w:color="auto"/>
        <w:left w:val="none" w:sz="0" w:space="0" w:color="auto"/>
        <w:bottom w:val="none" w:sz="0" w:space="0" w:color="auto"/>
        <w:right w:val="none" w:sz="0" w:space="0" w:color="auto"/>
      </w:divBdr>
    </w:div>
    <w:div w:id="1366953369">
      <w:bodyDiv w:val="1"/>
      <w:marLeft w:val="0"/>
      <w:marRight w:val="0"/>
      <w:marTop w:val="0"/>
      <w:marBottom w:val="0"/>
      <w:divBdr>
        <w:top w:val="none" w:sz="0" w:space="0" w:color="auto"/>
        <w:left w:val="none" w:sz="0" w:space="0" w:color="auto"/>
        <w:bottom w:val="none" w:sz="0" w:space="0" w:color="auto"/>
        <w:right w:val="none" w:sz="0" w:space="0" w:color="auto"/>
      </w:divBdr>
    </w:div>
    <w:div w:id="1409694307">
      <w:bodyDiv w:val="1"/>
      <w:marLeft w:val="0"/>
      <w:marRight w:val="0"/>
      <w:marTop w:val="0"/>
      <w:marBottom w:val="0"/>
      <w:divBdr>
        <w:top w:val="none" w:sz="0" w:space="0" w:color="auto"/>
        <w:left w:val="none" w:sz="0" w:space="0" w:color="auto"/>
        <w:bottom w:val="none" w:sz="0" w:space="0" w:color="auto"/>
        <w:right w:val="none" w:sz="0" w:space="0" w:color="auto"/>
      </w:divBdr>
    </w:div>
    <w:div w:id="211597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are.fisheriesireland.ie/Operations/ClimateActionProgramme/_layouts/15/start.aspx"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hare.fisheriesireland.ie/Operations/ClimateActionProgramme/_layouts/15/star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HIPAA%20privacy%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AAEEE91C842F44A39E5E797D591911" ma:contentTypeVersion="1" ma:contentTypeDescription="Create a new document." ma:contentTypeScope="" ma:versionID="8eb67f013a380660202ab618cb8422fa">
  <xsd:schema xmlns:xsd="http://www.w3.org/2001/XMLSchema" xmlns:xs="http://www.w3.org/2001/XMLSchema" xmlns:p="http://schemas.microsoft.com/office/2006/metadata/properties" xmlns:ns2="df0def43-415f-4645-a3d9-68065cfed14d" targetNamespace="http://schemas.microsoft.com/office/2006/metadata/properties" ma:root="true" ma:fieldsID="1efe20b163033cc3acdeaf8960f26924" ns2:_="">
    <xsd:import namespace="df0def43-415f-4645-a3d9-68065cfed14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def43-415f-4645-a3d9-68065cfed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106A7-BDFB-430F-BC73-CA1DF4F4889C}">
  <ds:schemaRefs>
    <ds:schemaRef ds:uri="http://schemas.openxmlformats.org/officeDocument/2006/bibliography"/>
  </ds:schemaRefs>
</ds:datastoreItem>
</file>

<file path=customXml/itemProps3.xml><?xml version="1.0" encoding="utf-8"?>
<ds:datastoreItem xmlns:ds="http://schemas.openxmlformats.org/officeDocument/2006/customXml" ds:itemID="{5E876B7B-850D-4B23-8FA6-851EDBC4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def43-415f-4645-a3d9-68065cfed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1617D-CFF0-4705-85FB-5CB89DCE8A0A}">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df0def43-415f-4645-a3d9-68065cfed14d"/>
  </ds:schemaRefs>
</ds:datastoreItem>
</file>

<file path=customXml/itemProps5.xml><?xml version="1.0" encoding="utf-8"?>
<ds:datastoreItem xmlns:ds="http://schemas.openxmlformats.org/officeDocument/2006/customXml" ds:itemID="{6C8E8F2D-DA0D-49DA-B73C-88F8D953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HIPAA privacy policy</Template>
  <TotalTime>1</TotalTime>
  <Pages>22</Pages>
  <Words>5044</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Structures policy</vt:lpstr>
    </vt:vector>
  </TitlesOfParts>
  <Company>Hewlett-Packard Company</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Structures policy</dc:title>
  <dc:creator>Lenovo User</dc:creator>
  <cp:lastModifiedBy>Sarah Shahsavarani</cp:lastModifiedBy>
  <cp:revision>2</cp:revision>
  <cp:lastPrinted>2016-11-11T08:22:00Z</cp:lastPrinted>
  <dcterms:created xsi:type="dcterms:W3CDTF">2021-09-08T15:25:00Z</dcterms:created>
  <dcterms:modified xsi:type="dcterms:W3CDTF">2021-09-08T15:25:00Z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TC100743811033</vt:lpwstr>
  </property>
  <property fmtid="{D5CDD505-2E9C-101B-9397-08002B2CF9AE}" pid="3" name="ContentTypeId">
    <vt:lpwstr>0x01010062AAEEE91C842F44A39E5E797D591911</vt:lpwstr>
  </property>
</Properties>
</file>